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FFE44" w14:textId="3546A708" w:rsidR="00251C64" w:rsidRPr="00847C53" w:rsidRDefault="009E40B6" w:rsidP="00043541">
      <w:pPr>
        <w:pStyle w:val="Title"/>
        <w:ind w:left="720"/>
        <w:jc w:val="right"/>
        <w:rPr>
          <w:sz w:val="40"/>
          <w:szCs w:val="40"/>
        </w:rPr>
      </w:pPr>
      <w:r w:rsidRPr="00847C53">
        <w:rPr>
          <w:rFonts w:eastAsia="SimSun"/>
          <w:b w:val="0"/>
          <w:sz w:val="40"/>
          <w:szCs w:val="40"/>
        </w:rPr>
        <w:drawing>
          <wp:anchor distT="0" distB="0" distL="114300" distR="114300" simplePos="0" relativeHeight="251659264" behindDoc="1" locked="0" layoutInCell="1" allowOverlap="1" wp14:anchorId="54B1D8A6" wp14:editId="03248C39">
            <wp:simplePos x="914400" y="1020445"/>
            <wp:positionH relativeFrom="margin">
              <wp:align>left</wp:align>
            </wp:positionH>
            <wp:positionV relativeFrom="margin">
              <wp:align>top</wp:align>
            </wp:positionV>
            <wp:extent cx="1249680" cy="1145540"/>
            <wp:effectExtent l="0" t="0" r="7620" b="0"/>
            <wp:wrapSquare wrapText="bothSides"/>
            <wp:docPr id="4" name="Picture 4" descr="SPA-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Logo-Colour.jpg"/>
                    <pic:cNvPicPr>
                      <a:picLocks noChangeAspect="1" noChangeArrowheads="1"/>
                    </pic:cNvPicPr>
                  </pic:nvPicPr>
                  <pic:blipFill rotWithShape="1">
                    <a:blip r:embed="rId8" cstate="print"/>
                    <a:srcRect t="8491"/>
                    <a:stretch/>
                  </pic:blipFill>
                  <pic:spPr bwMode="auto">
                    <a:xfrm>
                      <a:off x="0" y="0"/>
                      <a:ext cx="1249680" cy="11455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230D3">
        <w:rPr>
          <w:sz w:val="40"/>
          <w:szCs w:val="40"/>
        </w:rPr>
        <w:t>Aftercare</w:t>
      </w:r>
    </w:p>
    <w:p w14:paraId="1C0494B0" w14:textId="27F99D7A" w:rsidR="009E40B6" w:rsidRPr="00847C53" w:rsidRDefault="009E40B6" w:rsidP="009E40B6">
      <w:pPr>
        <w:pStyle w:val="Title"/>
        <w:jc w:val="right"/>
        <w:rPr>
          <w:sz w:val="40"/>
          <w:szCs w:val="40"/>
        </w:rPr>
      </w:pPr>
      <w:r w:rsidRPr="00847C53">
        <w:rPr>
          <w:sz w:val="40"/>
          <w:szCs w:val="40"/>
        </w:rPr>
        <w:t>POLICY POSITION STATEMENT</w:t>
      </w:r>
    </w:p>
    <w:p w14:paraId="2E1B0CD1" w14:textId="07D6229C" w:rsidR="009E40B6" w:rsidRPr="009E40B6" w:rsidRDefault="008230D3" w:rsidP="009E40B6">
      <w:pPr>
        <w:pStyle w:val="Title"/>
        <w:jc w:val="right"/>
      </w:pPr>
      <w:r>
        <w:rPr>
          <w:sz w:val="40"/>
          <w:szCs w:val="40"/>
        </w:rPr>
        <w:t>february</w:t>
      </w:r>
      <w:r w:rsidR="00654879">
        <w:rPr>
          <w:sz w:val="40"/>
          <w:szCs w:val="40"/>
        </w:rPr>
        <w:t xml:space="preserve"> 2020</w:t>
      </w:r>
    </w:p>
    <w:p w14:paraId="6B438D2D" w14:textId="129D7024" w:rsidR="00A8159B" w:rsidRDefault="00A8159B">
      <w:pPr>
        <w:rPr>
          <w:b/>
        </w:rPr>
      </w:pPr>
    </w:p>
    <w:p w14:paraId="60CA1F97" w14:textId="6911DADA" w:rsidR="00AD5A4E" w:rsidRDefault="00C47FCF" w:rsidP="00AD5A4E">
      <w:pPr>
        <w:pStyle w:val="Heading1"/>
      </w:pPr>
      <w:r>
        <w:t>Position</w:t>
      </w:r>
    </w:p>
    <w:p w14:paraId="0F37CB5E" w14:textId="77777777" w:rsidR="002F68FA" w:rsidRPr="00EB5E69" w:rsidRDefault="002F68FA" w:rsidP="002F68FA">
      <w:pPr>
        <w:spacing w:before="0" w:after="0" w:line="240" w:lineRule="auto"/>
        <w:ind w:left="360"/>
      </w:pPr>
    </w:p>
    <w:p w14:paraId="50556D95" w14:textId="0D6E7B3C" w:rsidR="00107958" w:rsidRPr="004F33CB" w:rsidRDefault="004F33CB" w:rsidP="00C56397">
      <w:pPr>
        <w:numPr>
          <w:ilvl w:val="0"/>
          <w:numId w:val="10"/>
        </w:numPr>
        <w:spacing w:before="0" w:after="0" w:line="240" w:lineRule="auto"/>
        <w:rPr>
          <w:sz w:val="22"/>
        </w:rPr>
      </w:pPr>
      <w:r w:rsidRPr="005F22D5">
        <w:rPr>
          <w:rFonts w:eastAsia="Times New Roman" w:cstheme="majorHAnsi"/>
          <w:sz w:val="22"/>
          <w:szCs w:val="22"/>
        </w:rPr>
        <w:t>A person surviving a suicide attempt is at heightened risk of a future attempt, particularly in the first six months after the attempt was made</w:t>
      </w:r>
      <w:bookmarkStart w:id="0" w:name="_Ref31707706"/>
      <w:r>
        <w:rPr>
          <w:rStyle w:val="FootnoteReference"/>
          <w:rFonts w:eastAsia="Times New Roman" w:cstheme="majorHAnsi"/>
          <w:sz w:val="22"/>
          <w:szCs w:val="22"/>
        </w:rPr>
        <w:footnoteReference w:id="1"/>
      </w:r>
      <w:bookmarkEnd w:id="0"/>
      <w:r>
        <w:rPr>
          <w:rFonts w:eastAsia="Times New Roman" w:cstheme="majorHAnsi"/>
          <w:sz w:val="22"/>
          <w:szCs w:val="22"/>
        </w:rPr>
        <w:t>.</w:t>
      </w:r>
    </w:p>
    <w:p w14:paraId="4405E4A1" w14:textId="393544A9" w:rsidR="00FE4EB1" w:rsidRDefault="00BB3F15" w:rsidP="00C56397">
      <w:pPr>
        <w:numPr>
          <w:ilvl w:val="0"/>
          <w:numId w:val="10"/>
        </w:numPr>
        <w:spacing w:before="0" w:after="0" w:line="240" w:lineRule="auto"/>
        <w:rPr>
          <w:sz w:val="22"/>
        </w:rPr>
      </w:pPr>
      <w:r>
        <w:rPr>
          <w:sz w:val="22"/>
        </w:rPr>
        <w:t>Governments should</w:t>
      </w:r>
      <w:r w:rsidR="00205A20">
        <w:rPr>
          <w:sz w:val="22"/>
        </w:rPr>
        <w:t xml:space="preserve"> invest in</w:t>
      </w:r>
      <w:r>
        <w:rPr>
          <w:sz w:val="22"/>
        </w:rPr>
        <w:t xml:space="preserve"> universal aftercare, </w:t>
      </w:r>
      <w:r w:rsidR="003E5FC4">
        <w:rPr>
          <w:sz w:val="22"/>
        </w:rPr>
        <w:t>where all people who have survived a suicide attempt, presented to hospital, GP or other government service following an attempt receives at least three months of follow up support.</w:t>
      </w:r>
    </w:p>
    <w:p w14:paraId="478D5B18" w14:textId="5DFFB5B4" w:rsidR="00544194" w:rsidRDefault="00544194" w:rsidP="00C56397">
      <w:pPr>
        <w:numPr>
          <w:ilvl w:val="0"/>
          <w:numId w:val="10"/>
        </w:numPr>
        <w:spacing w:before="0" w:after="0" w:line="240" w:lineRule="auto"/>
        <w:rPr>
          <w:sz w:val="22"/>
        </w:rPr>
      </w:pPr>
      <w:r>
        <w:rPr>
          <w:sz w:val="22"/>
        </w:rPr>
        <w:t>The National Mental Health Commission to undertake evaluation of aftercare services in Australia and deliver a report by 2021 to address the current gaps in evidence for effective aftercare services.</w:t>
      </w:r>
    </w:p>
    <w:p w14:paraId="4652E2C4" w14:textId="77777777" w:rsidR="008A6529" w:rsidRDefault="008A6529" w:rsidP="008A6529">
      <w:pPr>
        <w:spacing w:before="0" w:after="0" w:line="240" w:lineRule="auto"/>
      </w:pPr>
    </w:p>
    <w:p w14:paraId="4F1457D6" w14:textId="50AB1352" w:rsidR="00A8159B" w:rsidRPr="00A8159B" w:rsidRDefault="00C47FCF" w:rsidP="009E40B6">
      <w:pPr>
        <w:pStyle w:val="Heading1"/>
      </w:pPr>
      <w:r>
        <w:t>Context and commentary</w:t>
      </w:r>
    </w:p>
    <w:p w14:paraId="5F0B6E57" w14:textId="77777777" w:rsidR="002F68FA" w:rsidRDefault="002F68FA" w:rsidP="002F68FA">
      <w:pPr>
        <w:spacing w:before="0" w:after="0" w:line="240" w:lineRule="auto"/>
      </w:pPr>
    </w:p>
    <w:p w14:paraId="3217152E" w14:textId="03800D98" w:rsidR="00BE2B6A" w:rsidRDefault="00C56397" w:rsidP="00AC4064">
      <w:pPr>
        <w:spacing w:before="0" w:after="0" w:line="240" w:lineRule="auto"/>
        <w:rPr>
          <w:sz w:val="22"/>
          <w:szCs w:val="22"/>
        </w:rPr>
      </w:pPr>
      <w:r>
        <w:rPr>
          <w:sz w:val="22"/>
          <w:szCs w:val="22"/>
        </w:rPr>
        <w:t>A suicide attempt is the strongest risk factor for subsequent suicide</w:t>
      </w:r>
      <w:r w:rsidR="004F5506">
        <w:rPr>
          <w:sz w:val="22"/>
          <w:szCs w:val="22"/>
        </w:rPr>
        <w:t>, and the risk for suicide after an attempt is significantly elevated compared to the general population</w:t>
      </w:r>
      <w:bookmarkStart w:id="1" w:name="_Ref31715778"/>
      <w:r w:rsidR="004F5506">
        <w:rPr>
          <w:rStyle w:val="FootnoteReference"/>
          <w:sz w:val="22"/>
          <w:szCs w:val="22"/>
        </w:rPr>
        <w:footnoteReference w:id="2"/>
      </w:r>
      <w:bookmarkEnd w:id="1"/>
      <w:r>
        <w:rPr>
          <w:sz w:val="22"/>
          <w:szCs w:val="22"/>
        </w:rPr>
        <w:t xml:space="preserve">. </w:t>
      </w:r>
      <w:r w:rsidR="00F83DB3">
        <w:rPr>
          <w:sz w:val="22"/>
          <w:szCs w:val="22"/>
        </w:rPr>
        <w:t xml:space="preserve">  </w:t>
      </w:r>
    </w:p>
    <w:p w14:paraId="494F7404" w14:textId="77777777" w:rsidR="00BE2B6A" w:rsidRDefault="00BE2B6A" w:rsidP="00AC4064">
      <w:pPr>
        <w:spacing w:before="0" w:after="0" w:line="240" w:lineRule="auto"/>
        <w:rPr>
          <w:sz w:val="22"/>
          <w:szCs w:val="22"/>
        </w:rPr>
      </w:pPr>
    </w:p>
    <w:p w14:paraId="289E131F" w14:textId="27DFA1D0" w:rsidR="00AC4064" w:rsidRPr="00BE2B6A" w:rsidRDefault="00AC4064" w:rsidP="00AC4064">
      <w:pPr>
        <w:spacing w:before="0" w:after="0" w:line="240" w:lineRule="auto"/>
        <w:rPr>
          <w:sz w:val="22"/>
          <w:szCs w:val="22"/>
        </w:rPr>
      </w:pPr>
      <w:r w:rsidRPr="00AC4064">
        <w:rPr>
          <w:sz w:val="22"/>
          <w:szCs w:val="22"/>
          <w:lang w:val="en-US"/>
        </w:rPr>
        <w:t>Despite this, the follow-up or ‘aftercare’ provided to people who are known to have attempted suicide is patchy at best. Our emergency departments and other acute care settings are overstretched, with demand for services often exceeding the resources available.</w:t>
      </w:r>
    </w:p>
    <w:p w14:paraId="0628103A" w14:textId="77777777" w:rsidR="00AC4064" w:rsidRDefault="00AC4064" w:rsidP="00EB6845">
      <w:pPr>
        <w:spacing w:before="0" w:after="0" w:line="240" w:lineRule="auto"/>
        <w:rPr>
          <w:sz w:val="22"/>
          <w:szCs w:val="22"/>
        </w:rPr>
      </w:pPr>
    </w:p>
    <w:p w14:paraId="125DC46E" w14:textId="3AD0D1B1" w:rsidR="00262348" w:rsidRDefault="00B05812" w:rsidP="00EB6845">
      <w:pPr>
        <w:spacing w:before="0" w:after="0" w:line="240" w:lineRule="auto"/>
        <w:rPr>
          <w:sz w:val="22"/>
          <w:szCs w:val="22"/>
        </w:rPr>
      </w:pPr>
      <w:r>
        <w:rPr>
          <w:sz w:val="22"/>
          <w:szCs w:val="22"/>
        </w:rPr>
        <w:t>Australia requires a robust, high quality, coordinated approach to improving the care of people after a suicide attempt.</w:t>
      </w:r>
      <w:r w:rsidR="00BC5F1F">
        <w:rPr>
          <w:sz w:val="22"/>
          <w:szCs w:val="22"/>
        </w:rPr>
        <w:t xml:space="preserve">  </w:t>
      </w:r>
      <w:r w:rsidR="00E521FA">
        <w:rPr>
          <w:sz w:val="22"/>
          <w:szCs w:val="22"/>
        </w:rPr>
        <w:t>Evidence informs us that people who have been provided with appropriate aftercare after a suicide attempt are less likely to die by suicide</w:t>
      </w:r>
      <w:r w:rsidR="00E521FA">
        <w:rPr>
          <w:rStyle w:val="FootnoteReference"/>
          <w:sz w:val="22"/>
          <w:szCs w:val="22"/>
        </w:rPr>
        <w:footnoteReference w:id="3"/>
      </w:r>
      <w:r w:rsidR="007D5017" w:rsidRPr="007D5017">
        <w:rPr>
          <w:sz w:val="22"/>
          <w:szCs w:val="22"/>
          <w:vertAlign w:val="superscript"/>
        </w:rPr>
        <w:t>,</w:t>
      </w:r>
      <w:r w:rsidR="007D5017">
        <w:rPr>
          <w:rStyle w:val="FootnoteReference"/>
          <w:sz w:val="22"/>
          <w:szCs w:val="22"/>
        </w:rPr>
        <w:footnoteReference w:id="4"/>
      </w:r>
      <w:r w:rsidR="00E521FA">
        <w:rPr>
          <w:sz w:val="22"/>
          <w:szCs w:val="22"/>
        </w:rPr>
        <w:t xml:space="preserve">. </w:t>
      </w:r>
      <w:r w:rsidR="00BE2B6A">
        <w:rPr>
          <w:sz w:val="22"/>
          <w:szCs w:val="22"/>
        </w:rPr>
        <w:t xml:space="preserve">Every person who has survived a suicide attempt or has presented to an emergency department with suicidal behaviours should be proactively provided with aftercare support. </w:t>
      </w:r>
    </w:p>
    <w:p w14:paraId="4B7A8994" w14:textId="5EB37DEF" w:rsidR="00F83DB3" w:rsidRDefault="00F83DB3" w:rsidP="00EB6845">
      <w:pPr>
        <w:spacing w:before="0" w:after="0" w:line="240" w:lineRule="auto"/>
        <w:rPr>
          <w:sz w:val="22"/>
          <w:szCs w:val="22"/>
        </w:rPr>
      </w:pPr>
    </w:p>
    <w:p w14:paraId="3DEBDAB3" w14:textId="42DDDBB6" w:rsidR="00B05812" w:rsidRDefault="00F83DB3" w:rsidP="00EB6845">
      <w:pPr>
        <w:spacing w:before="0" w:after="0" w:line="240" w:lineRule="auto"/>
        <w:rPr>
          <w:i/>
          <w:sz w:val="22"/>
          <w:szCs w:val="22"/>
        </w:rPr>
      </w:pPr>
      <w:r>
        <w:rPr>
          <w:i/>
          <w:sz w:val="22"/>
          <w:szCs w:val="22"/>
        </w:rPr>
        <w:t>What does effective aftercare look like?</w:t>
      </w:r>
    </w:p>
    <w:p w14:paraId="5442A43E" w14:textId="4E35127E" w:rsidR="00F83DB3" w:rsidRDefault="00F83DB3" w:rsidP="00EB6845">
      <w:pPr>
        <w:spacing w:before="0" w:after="0" w:line="240" w:lineRule="auto"/>
        <w:rPr>
          <w:sz w:val="22"/>
          <w:szCs w:val="22"/>
        </w:rPr>
      </w:pPr>
    </w:p>
    <w:p w14:paraId="6513417D" w14:textId="135B2C97" w:rsidR="00F83DB3" w:rsidRDefault="00B140B4" w:rsidP="00EB6845">
      <w:pPr>
        <w:spacing w:before="0" w:after="0" w:line="240" w:lineRule="auto"/>
        <w:rPr>
          <w:sz w:val="22"/>
          <w:szCs w:val="22"/>
        </w:rPr>
      </w:pPr>
      <w:r>
        <w:rPr>
          <w:sz w:val="22"/>
          <w:szCs w:val="22"/>
        </w:rPr>
        <w:t>Effective aftercare should</w:t>
      </w:r>
      <w:r w:rsidR="009362AD">
        <w:rPr>
          <w:sz w:val="22"/>
          <w:szCs w:val="22"/>
        </w:rPr>
        <w:t xml:space="preserve"> involve both immediate and continuous support.</w:t>
      </w:r>
    </w:p>
    <w:p w14:paraId="58F0CF1B" w14:textId="06CD25BC" w:rsidR="009362AD" w:rsidRDefault="009362AD" w:rsidP="00EB6845">
      <w:pPr>
        <w:spacing w:before="0" w:after="0" w:line="240" w:lineRule="auto"/>
        <w:rPr>
          <w:sz w:val="22"/>
          <w:szCs w:val="22"/>
        </w:rPr>
      </w:pPr>
    </w:p>
    <w:p w14:paraId="772A9AF9" w14:textId="32936A52" w:rsidR="004C0E3D" w:rsidRDefault="00D232A6" w:rsidP="004C0E3D">
      <w:pPr>
        <w:spacing w:before="0" w:after="0" w:line="240" w:lineRule="auto"/>
        <w:rPr>
          <w:sz w:val="22"/>
          <w:szCs w:val="22"/>
          <w:lang w:val="en-US"/>
        </w:rPr>
      </w:pPr>
      <w:r>
        <w:rPr>
          <w:sz w:val="22"/>
          <w:szCs w:val="22"/>
          <w:lang w:val="en-US"/>
        </w:rPr>
        <w:t>B</w:t>
      </w:r>
      <w:r w:rsidRPr="00D232A6">
        <w:rPr>
          <w:sz w:val="22"/>
          <w:szCs w:val="22"/>
          <w:lang w:val="en-US"/>
        </w:rPr>
        <w:t xml:space="preserve">rief interventions and case management models </w:t>
      </w:r>
      <w:r>
        <w:rPr>
          <w:sz w:val="22"/>
          <w:szCs w:val="22"/>
          <w:lang w:val="en-US"/>
        </w:rPr>
        <w:t>have been found to be</w:t>
      </w:r>
      <w:r w:rsidRPr="00D232A6">
        <w:rPr>
          <w:sz w:val="22"/>
          <w:szCs w:val="22"/>
          <w:lang w:val="en-US"/>
        </w:rPr>
        <w:t xml:space="preserve"> effective in reducing repeat suicide attempts</w:t>
      </w:r>
      <w:r>
        <w:rPr>
          <w:sz w:val="22"/>
          <w:szCs w:val="22"/>
          <w:lang w:val="en-US"/>
        </w:rPr>
        <w:t xml:space="preserve">, with key </w:t>
      </w:r>
      <w:r w:rsidR="00B74474">
        <w:rPr>
          <w:sz w:val="22"/>
          <w:szCs w:val="22"/>
          <w:lang w:val="en-US"/>
        </w:rPr>
        <w:t>components</w:t>
      </w:r>
      <w:r>
        <w:rPr>
          <w:sz w:val="22"/>
          <w:szCs w:val="22"/>
          <w:lang w:val="en-US"/>
        </w:rPr>
        <w:t xml:space="preserve"> to effective aftercare identified as timeliness, quality, and </w:t>
      </w:r>
      <w:r>
        <w:rPr>
          <w:sz w:val="22"/>
          <w:szCs w:val="22"/>
          <w:lang w:val="en-US"/>
        </w:rPr>
        <w:lastRenderedPageBreak/>
        <w:t>human connection established with the person who has attempted and their carers</w:t>
      </w:r>
      <w:r>
        <w:rPr>
          <w:rStyle w:val="FootnoteReference"/>
          <w:sz w:val="22"/>
          <w:szCs w:val="22"/>
          <w:lang w:val="en-US"/>
        </w:rPr>
        <w:footnoteReference w:id="5"/>
      </w:r>
      <w:r w:rsidRPr="00D232A6">
        <w:rPr>
          <w:sz w:val="22"/>
          <w:szCs w:val="22"/>
          <w:vertAlign w:val="superscript"/>
          <w:lang w:val="en-US"/>
        </w:rPr>
        <w:t>,</w:t>
      </w:r>
      <w:r>
        <w:rPr>
          <w:sz w:val="22"/>
          <w:szCs w:val="22"/>
          <w:lang w:val="en-US"/>
        </w:rPr>
        <w:fldChar w:fldCharType="begin"/>
      </w:r>
      <w:r>
        <w:rPr>
          <w:sz w:val="22"/>
          <w:szCs w:val="22"/>
          <w:vertAlign w:val="superscript"/>
          <w:lang w:val="en-US"/>
        </w:rPr>
        <w:instrText xml:space="preserve"> NOTEREF _Ref31715778 \h </w:instrText>
      </w:r>
      <w:r>
        <w:rPr>
          <w:sz w:val="22"/>
          <w:szCs w:val="22"/>
          <w:lang w:val="en-US"/>
        </w:rPr>
      </w:r>
      <w:r>
        <w:rPr>
          <w:sz w:val="22"/>
          <w:szCs w:val="22"/>
          <w:lang w:val="en-US"/>
        </w:rPr>
        <w:fldChar w:fldCharType="separate"/>
      </w:r>
      <w:r>
        <w:rPr>
          <w:sz w:val="22"/>
          <w:szCs w:val="22"/>
          <w:vertAlign w:val="superscript"/>
          <w:lang w:val="en-US"/>
        </w:rPr>
        <w:t>2</w:t>
      </w:r>
      <w:r>
        <w:rPr>
          <w:sz w:val="22"/>
          <w:szCs w:val="22"/>
          <w:lang w:val="en-US"/>
        </w:rPr>
        <w:fldChar w:fldCharType="end"/>
      </w:r>
      <w:r w:rsidR="00BC5F1F">
        <w:rPr>
          <w:sz w:val="22"/>
          <w:szCs w:val="22"/>
          <w:lang w:val="en-US"/>
        </w:rPr>
        <w:t xml:space="preserve"> </w:t>
      </w:r>
      <w:r w:rsidR="004C0E3D" w:rsidRPr="004C0E3D">
        <w:rPr>
          <w:sz w:val="22"/>
          <w:szCs w:val="22"/>
          <w:lang w:val="en-US"/>
        </w:rPr>
        <w:t xml:space="preserve">One-off, digitally based and </w:t>
      </w:r>
      <w:r w:rsidR="00BC5F1F">
        <w:rPr>
          <w:sz w:val="22"/>
          <w:szCs w:val="22"/>
          <w:lang w:val="en-US"/>
        </w:rPr>
        <w:t xml:space="preserve">impersonal methods of aftercare, however, </w:t>
      </w:r>
      <w:r w:rsidR="004C0E3D" w:rsidRPr="004C0E3D">
        <w:rPr>
          <w:sz w:val="22"/>
          <w:szCs w:val="22"/>
          <w:lang w:val="en-US"/>
        </w:rPr>
        <w:t>less effective in reducing individual risk of repeat self-harm behaviours or suicide attempts as evidence reports significantly higher preferences for face-to-face contact as the primary contact</w:t>
      </w:r>
      <w:r w:rsidR="004C0E3D" w:rsidRPr="004C0E3D">
        <w:rPr>
          <w:sz w:val="22"/>
          <w:szCs w:val="22"/>
          <w:vertAlign w:val="superscript"/>
          <w:lang w:val="en-US"/>
        </w:rPr>
        <w:fldChar w:fldCharType="begin"/>
      </w:r>
      <w:r w:rsidR="004C0E3D" w:rsidRPr="004C0E3D">
        <w:rPr>
          <w:sz w:val="22"/>
          <w:szCs w:val="22"/>
          <w:vertAlign w:val="superscript"/>
          <w:lang w:val="en-US"/>
        </w:rPr>
        <w:instrText xml:space="preserve"> NOTEREF _Ref31715778 \h </w:instrText>
      </w:r>
      <w:r w:rsidR="004C0E3D">
        <w:rPr>
          <w:sz w:val="22"/>
          <w:szCs w:val="22"/>
          <w:vertAlign w:val="superscript"/>
          <w:lang w:val="en-US"/>
        </w:rPr>
        <w:instrText xml:space="preserve"> \* MERGEFORMAT </w:instrText>
      </w:r>
      <w:r w:rsidR="004C0E3D" w:rsidRPr="004C0E3D">
        <w:rPr>
          <w:sz w:val="22"/>
          <w:szCs w:val="22"/>
          <w:vertAlign w:val="superscript"/>
          <w:lang w:val="en-US"/>
        </w:rPr>
      </w:r>
      <w:r w:rsidR="004C0E3D" w:rsidRPr="004C0E3D">
        <w:rPr>
          <w:sz w:val="22"/>
          <w:szCs w:val="22"/>
          <w:vertAlign w:val="superscript"/>
          <w:lang w:val="en-US"/>
        </w:rPr>
        <w:fldChar w:fldCharType="separate"/>
      </w:r>
      <w:r w:rsidR="004C0E3D" w:rsidRPr="004C0E3D">
        <w:rPr>
          <w:sz w:val="22"/>
          <w:szCs w:val="22"/>
          <w:vertAlign w:val="superscript"/>
          <w:lang w:val="en-US"/>
        </w:rPr>
        <w:t>2</w:t>
      </w:r>
      <w:r w:rsidR="004C0E3D" w:rsidRPr="004C0E3D">
        <w:rPr>
          <w:sz w:val="22"/>
          <w:szCs w:val="22"/>
          <w:vertAlign w:val="superscript"/>
          <w:lang w:val="en-US"/>
        </w:rPr>
        <w:fldChar w:fldCharType="end"/>
      </w:r>
      <w:r w:rsidR="004C0E3D">
        <w:rPr>
          <w:sz w:val="22"/>
          <w:szCs w:val="22"/>
          <w:lang w:val="en-US"/>
        </w:rPr>
        <w:t>.</w:t>
      </w:r>
    </w:p>
    <w:p w14:paraId="247EE90F" w14:textId="77777777" w:rsidR="00D0652D" w:rsidRDefault="00D0652D" w:rsidP="00D0652D">
      <w:pPr>
        <w:spacing w:before="0" w:after="0" w:line="240" w:lineRule="auto"/>
        <w:rPr>
          <w:rFonts w:cstheme="minorHAnsi"/>
          <w:sz w:val="22"/>
          <w:szCs w:val="22"/>
          <w:lang w:val="en-US"/>
        </w:rPr>
      </w:pPr>
    </w:p>
    <w:p w14:paraId="19901691" w14:textId="62F1CB5A" w:rsidR="00D0652D" w:rsidRPr="004B1F60" w:rsidRDefault="00BC5F1F" w:rsidP="00D0652D">
      <w:pPr>
        <w:spacing w:before="0" w:after="0" w:line="240" w:lineRule="auto"/>
        <w:rPr>
          <w:rFonts w:cstheme="minorHAnsi"/>
          <w:sz w:val="22"/>
          <w:szCs w:val="22"/>
        </w:rPr>
      </w:pPr>
      <w:r>
        <w:rPr>
          <w:rFonts w:cstheme="minorHAnsi"/>
          <w:sz w:val="22"/>
          <w:szCs w:val="22"/>
          <w:lang w:val="en-US"/>
        </w:rPr>
        <w:t>E</w:t>
      </w:r>
      <w:r w:rsidR="00D0652D" w:rsidRPr="004B1F60">
        <w:rPr>
          <w:rFonts w:cstheme="minorHAnsi"/>
          <w:sz w:val="22"/>
          <w:szCs w:val="22"/>
          <w:lang w:val="en-US"/>
        </w:rPr>
        <w:t>ffective aftercare should include components of outreach (e.g. contact within 24 hours of discharge and brief contact intervention), solution-focused counselling, involvement of families and carers in treatment and discharge plans, continuity of care, and include both clinical and non-clinical components</w:t>
      </w:r>
      <w:r w:rsidR="00D0652D">
        <w:rPr>
          <w:rStyle w:val="FootnoteReference"/>
          <w:rFonts w:cstheme="minorHAnsi"/>
          <w:sz w:val="22"/>
          <w:szCs w:val="22"/>
          <w:lang w:val="en-US"/>
        </w:rPr>
        <w:footnoteReference w:id="6"/>
      </w:r>
      <w:r w:rsidR="00D0652D" w:rsidRPr="004B1F60">
        <w:rPr>
          <w:rFonts w:cstheme="minorHAnsi"/>
          <w:sz w:val="22"/>
          <w:szCs w:val="22"/>
          <w:vertAlign w:val="superscript"/>
          <w:lang w:val="en-US"/>
        </w:rPr>
        <w:t>,</w:t>
      </w:r>
      <w:r w:rsidR="00D0652D" w:rsidRPr="004B1F60">
        <w:rPr>
          <w:rFonts w:cstheme="minorHAnsi"/>
          <w:sz w:val="22"/>
          <w:szCs w:val="22"/>
          <w:vertAlign w:val="superscript"/>
          <w:lang w:val="en-US"/>
        </w:rPr>
        <w:fldChar w:fldCharType="begin"/>
      </w:r>
      <w:r w:rsidR="00D0652D" w:rsidRPr="004B1F60">
        <w:rPr>
          <w:rFonts w:cstheme="minorHAnsi"/>
          <w:sz w:val="22"/>
          <w:szCs w:val="22"/>
          <w:vertAlign w:val="superscript"/>
          <w:lang w:val="en-US"/>
        </w:rPr>
        <w:instrText xml:space="preserve"> NOTEREF _Ref31715778 \h </w:instrText>
      </w:r>
      <w:r w:rsidR="00D0652D">
        <w:rPr>
          <w:rFonts w:cstheme="minorHAnsi"/>
          <w:sz w:val="22"/>
          <w:szCs w:val="22"/>
          <w:vertAlign w:val="superscript"/>
          <w:lang w:val="en-US"/>
        </w:rPr>
        <w:instrText xml:space="preserve"> \* MERGEFORMAT </w:instrText>
      </w:r>
      <w:r w:rsidR="00D0652D" w:rsidRPr="004B1F60">
        <w:rPr>
          <w:rFonts w:cstheme="minorHAnsi"/>
          <w:sz w:val="22"/>
          <w:szCs w:val="22"/>
          <w:vertAlign w:val="superscript"/>
          <w:lang w:val="en-US"/>
        </w:rPr>
      </w:r>
      <w:r w:rsidR="00D0652D" w:rsidRPr="004B1F60">
        <w:rPr>
          <w:rFonts w:cstheme="minorHAnsi"/>
          <w:sz w:val="22"/>
          <w:szCs w:val="22"/>
          <w:vertAlign w:val="superscript"/>
          <w:lang w:val="en-US"/>
        </w:rPr>
        <w:fldChar w:fldCharType="separate"/>
      </w:r>
      <w:r w:rsidR="00D0652D" w:rsidRPr="004B1F60">
        <w:rPr>
          <w:rFonts w:cstheme="minorHAnsi"/>
          <w:sz w:val="22"/>
          <w:szCs w:val="22"/>
          <w:vertAlign w:val="superscript"/>
          <w:lang w:val="en-US"/>
        </w:rPr>
        <w:t>2</w:t>
      </w:r>
      <w:r w:rsidR="00D0652D" w:rsidRPr="004B1F60">
        <w:rPr>
          <w:rFonts w:cstheme="minorHAnsi"/>
          <w:sz w:val="22"/>
          <w:szCs w:val="22"/>
          <w:vertAlign w:val="superscript"/>
          <w:lang w:val="en-US"/>
        </w:rPr>
        <w:fldChar w:fldCharType="end"/>
      </w:r>
      <w:r w:rsidR="00D0652D">
        <w:rPr>
          <w:rFonts w:cstheme="minorHAnsi"/>
          <w:sz w:val="22"/>
          <w:szCs w:val="22"/>
          <w:lang w:val="en-US"/>
        </w:rPr>
        <w:t>.</w:t>
      </w:r>
    </w:p>
    <w:p w14:paraId="32908B54" w14:textId="08B97D41" w:rsidR="008372E4" w:rsidRDefault="008372E4" w:rsidP="004C0E3D">
      <w:pPr>
        <w:spacing w:before="0" w:after="0" w:line="240" w:lineRule="auto"/>
        <w:rPr>
          <w:sz w:val="22"/>
          <w:szCs w:val="22"/>
          <w:lang w:val="en-US"/>
        </w:rPr>
      </w:pPr>
    </w:p>
    <w:p w14:paraId="545B01CE" w14:textId="4CE54B5E" w:rsidR="008372E4" w:rsidRPr="00BC5F1F" w:rsidRDefault="00C83A54" w:rsidP="004B1F60">
      <w:pPr>
        <w:spacing w:before="0" w:after="0" w:line="240" w:lineRule="auto"/>
        <w:rPr>
          <w:sz w:val="22"/>
          <w:szCs w:val="22"/>
          <w:lang w:val="en-US"/>
        </w:rPr>
      </w:pPr>
      <w:r>
        <w:rPr>
          <w:sz w:val="22"/>
          <w:szCs w:val="22"/>
          <w:lang w:val="en-US"/>
        </w:rPr>
        <w:t>Aftercare programs with the capacity to provide high quality support for attempt survivors already exist in Australia. Beyond Blue’s Way Back Support Service provides non-clinical, one-on-one care to guide people safely through the critical risk period of up to 3 months. In Victoria, the Hospital Outreach Post-suicidal Engagement (HOPE) program also provides intensive support following discharge, with first contact made within 24 hours from the patient leaving hospital and continuing for up to 3 months</w:t>
      </w:r>
      <w:r>
        <w:rPr>
          <w:rStyle w:val="FootnoteReference"/>
          <w:sz w:val="22"/>
          <w:szCs w:val="22"/>
          <w:lang w:val="en-US"/>
        </w:rPr>
        <w:footnoteReference w:id="7"/>
      </w:r>
      <w:bookmarkStart w:id="2" w:name="_GoBack"/>
      <w:bookmarkEnd w:id="2"/>
      <w:r>
        <w:rPr>
          <w:sz w:val="22"/>
          <w:szCs w:val="22"/>
          <w:lang w:val="en-US"/>
        </w:rPr>
        <w:t>.</w:t>
      </w:r>
      <w:r w:rsidR="00BC5F1F">
        <w:rPr>
          <w:sz w:val="22"/>
          <w:szCs w:val="22"/>
          <w:lang w:val="en-US"/>
        </w:rPr>
        <w:t xml:space="preserve">  </w:t>
      </w:r>
      <w:r w:rsidR="004B1F60" w:rsidRPr="004B1F60">
        <w:rPr>
          <w:rFonts w:cstheme="minorHAnsi"/>
          <w:sz w:val="22"/>
          <w:szCs w:val="22"/>
          <w:lang w:val="en-US"/>
        </w:rPr>
        <w:t>A best practic</w:t>
      </w:r>
      <w:r w:rsidR="00BC5F1F">
        <w:rPr>
          <w:rFonts w:cstheme="minorHAnsi"/>
          <w:sz w:val="22"/>
          <w:szCs w:val="22"/>
          <w:lang w:val="en-US"/>
        </w:rPr>
        <w:t>e universal aftercare program w</w:t>
      </w:r>
      <w:r w:rsidR="004B1F60" w:rsidRPr="004B1F60">
        <w:rPr>
          <w:rFonts w:cstheme="minorHAnsi"/>
          <w:sz w:val="22"/>
          <w:szCs w:val="22"/>
          <w:lang w:val="en-US"/>
        </w:rPr>
        <w:t xml:space="preserve">ould encompass the elements of </w:t>
      </w:r>
      <w:r w:rsidR="004B1F60" w:rsidRPr="00C83A54">
        <w:rPr>
          <w:rFonts w:cstheme="minorHAnsi"/>
          <w:sz w:val="22"/>
          <w:szCs w:val="22"/>
          <w:lang w:val="en-US"/>
        </w:rPr>
        <w:t>existing initiatives</w:t>
      </w:r>
      <w:r w:rsidR="004B1F60" w:rsidRPr="004B1F60">
        <w:rPr>
          <w:rFonts w:cstheme="minorHAnsi"/>
          <w:sz w:val="22"/>
          <w:szCs w:val="22"/>
          <w:lang w:val="en-US"/>
        </w:rPr>
        <w:t xml:space="preserve">, while also ensuring that people are connected to these services </w:t>
      </w:r>
      <w:r w:rsidR="004B1F60" w:rsidRPr="00D0652D">
        <w:rPr>
          <w:rFonts w:cstheme="minorHAnsi"/>
          <w:i/>
          <w:sz w:val="22"/>
          <w:szCs w:val="22"/>
          <w:lang w:val="en-US"/>
        </w:rPr>
        <w:t>prior</w:t>
      </w:r>
      <w:r w:rsidR="004B1F60" w:rsidRPr="004B1F60">
        <w:rPr>
          <w:rFonts w:cstheme="minorHAnsi"/>
          <w:sz w:val="22"/>
          <w:szCs w:val="22"/>
          <w:lang w:val="en-US"/>
        </w:rPr>
        <w:t xml:space="preserve"> to discharge</w:t>
      </w:r>
      <w:r w:rsidR="00CD2E50">
        <w:rPr>
          <w:rFonts w:cstheme="minorHAnsi"/>
          <w:sz w:val="22"/>
          <w:szCs w:val="22"/>
          <w:lang w:val="en-US"/>
        </w:rPr>
        <w:t>.</w:t>
      </w:r>
      <w:r w:rsidR="004B1F60" w:rsidRPr="004B1F60">
        <w:rPr>
          <w:rFonts w:cstheme="minorHAnsi"/>
          <w:sz w:val="22"/>
          <w:szCs w:val="22"/>
          <w:lang w:val="en-US"/>
        </w:rPr>
        <w:t xml:space="preserve"> </w:t>
      </w:r>
    </w:p>
    <w:p w14:paraId="1FC1F5DF" w14:textId="77777777" w:rsidR="008372E4" w:rsidRDefault="008372E4" w:rsidP="004B1F60">
      <w:pPr>
        <w:spacing w:before="0" w:after="0" w:line="240" w:lineRule="auto"/>
        <w:rPr>
          <w:rFonts w:cstheme="minorHAnsi"/>
          <w:sz w:val="22"/>
          <w:szCs w:val="22"/>
          <w:lang w:val="en-US"/>
        </w:rPr>
      </w:pPr>
    </w:p>
    <w:p w14:paraId="217C7258" w14:textId="7D6CC662" w:rsidR="004B1F60" w:rsidRDefault="00CD2E50" w:rsidP="00235430">
      <w:pPr>
        <w:spacing w:before="0" w:after="0" w:line="240" w:lineRule="auto"/>
        <w:rPr>
          <w:rFonts w:cstheme="minorHAnsi"/>
          <w:sz w:val="22"/>
          <w:szCs w:val="22"/>
        </w:rPr>
      </w:pPr>
      <w:r>
        <w:rPr>
          <w:rFonts w:cstheme="minorHAnsi"/>
          <w:sz w:val="22"/>
          <w:szCs w:val="22"/>
        </w:rPr>
        <w:t xml:space="preserve">Commonwealth, State and Territory Governments should put in place universal aftercare: where anyone who presents to a hospital, GP or other government service following an attempt receives at least three months of follow up support given the high risk period post discharge. This is a commitment already recognised in the </w:t>
      </w:r>
      <w:r>
        <w:rPr>
          <w:rFonts w:cstheme="minorHAnsi"/>
          <w:i/>
          <w:sz w:val="22"/>
          <w:szCs w:val="22"/>
        </w:rPr>
        <w:t>Fifth National Mental Health and Suicide Prevention Plan</w:t>
      </w:r>
      <w:r>
        <w:rPr>
          <w:rFonts w:cstheme="minorHAnsi"/>
          <w:sz w:val="22"/>
          <w:szCs w:val="22"/>
        </w:rPr>
        <w:t>, and agreed to by all Australian Health Ministers.</w:t>
      </w:r>
    </w:p>
    <w:p w14:paraId="5103AAFE" w14:textId="22682BBC" w:rsidR="00544194" w:rsidRDefault="00544194" w:rsidP="00235430">
      <w:pPr>
        <w:spacing w:before="0" w:after="0" w:line="240" w:lineRule="auto"/>
        <w:rPr>
          <w:rFonts w:cstheme="minorHAnsi"/>
          <w:sz w:val="22"/>
          <w:szCs w:val="22"/>
        </w:rPr>
      </w:pPr>
    </w:p>
    <w:p w14:paraId="11628BE3" w14:textId="54FCF826" w:rsidR="00544194" w:rsidRDefault="00544194" w:rsidP="00235430">
      <w:pPr>
        <w:spacing w:before="0" w:after="0" w:line="240" w:lineRule="auto"/>
        <w:rPr>
          <w:rFonts w:cstheme="minorHAnsi"/>
          <w:sz w:val="22"/>
          <w:szCs w:val="22"/>
        </w:rPr>
      </w:pPr>
      <w:r>
        <w:rPr>
          <w:rFonts w:cstheme="minorHAnsi"/>
          <w:sz w:val="22"/>
          <w:szCs w:val="22"/>
        </w:rPr>
        <w:t>Aftercare should be accessible by all people who survive a suicide attempt including people who present to emergency departments with suicidal behaviours.</w:t>
      </w:r>
    </w:p>
    <w:p w14:paraId="07C89D94" w14:textId="0EC72500" w:rsidR="00544194" w:rsidRDefault="00544194" w:rsidP="00235430">
      <w:pPr>
        <w:spacing w:before="0" w:after="0" w:line="240" w:lineRule="auto"/>
        <w:rPr>
          <w:rFonts w:cstheme="minorHAnsi"/>
          <w:sz w:val="22"/>
          <w:szCs w:val="22"/>
        </w:rPr>
      </w:pPr>
    </w:p>
    <w:p w14:paraId="08E338B6" w14:textId="1B9737B6" w:rsidR="00544194" w:rsidRPr="00B15A1E" w:rsidRDefault="00BC5F1F" w:rsidP="00235430">
      <w:pPr>
        <w:spacing w:before="0" w:after="0" w:line="240" w:lineRule="auto"/>
        <w:rPr>
          <w:rFonts w:cstheme="minorHAnsi"/>
          <w:i/>
          <w:sz w:val="22"/>
          <w:szCs w:val="22"/>
        </w:rPr>
      </w:pPr>
      <w:r>
        <w:rPr>
          <w:rFonts w:cstheme="minorHAnsi"/>
          <w:i/>
          <w:sz w:val="22"/>
          <w:szCs w:val="22"/>
        </w:rPr>
        <w:t>The need to evaluate aftercare services</w:t>
      </w:r>
    </w:p>
    <w:p w14:paraId="58601595" w14:textId="77777777" w:rsidR="00A70EF8" w:rsidRPr="00A70EF8" w:rsidRDefault="00A70EF8" w:rsidP="00A70EF8">
      <w:pPr>
        <w:spacing w:before="0" w:after="0" w:line="240" w:lineRule="auto"/>
        <w:rPr>
          <w:sz w:val="22"/>
          <w:szCs w:val="22"/>
        </w:rPr>
      </w:pPr>
    </w:p>
    <w:p w14:paraId="026B43ED" w14:textId="14B1A0B6" w:rsidR="008230D3" w:rsidRDefault="00E116E1" w:rsidP="00EB6845">
      <w:pPr>
        <w:spacing w:before="0" w:after="0" w:line="240" w:lineRule="auto"/>
        <w:rPr>
          <w:sz w:val="22"/>
          <w:szCs w:val="22"/>
        </w:rPr>
      </w:pPr>
      <w:r>
        <w:rPr>
          <w:sz w:val="22"/>
          <w:szCs w:val="22"/>
        </w:rPr>
        <w:t>The Evidence Check commissioned by the NSW Ministry of Health identified an absence of thorough evaluations of aftercare services in Australia</w:t>
      </w:r>
      <w:r w:rsidRPr="00E116E1">
        <w:rPr>
          <w:sz w:val="22"/>
          <w:szCs w:val="22"/>
          <w:vertAlign w:val="superscript"/>
        </w:rPr>
        <w:t>2</w:t>
      </w:r>
      <w:r>
        <w:rPr>
          <w:sz w:val="22"/>
          <w:szCs w:val="22"/>
        </w:rPr>
        <w:t xml:space="preserve">. </w:t>
      </w:r>
      <w:r w:rsidR="009911ED">
        <w:rPr>
          <w:sz w:val="22"/>
          <w:szCs w:val="22"/>
        </w:rPr>
        <w:t>Without such evidence, we are unable to determine the efficacy of services being provided and disaggregate consumer experience by priority populations who are disproportionately at higher risk of suicidality e.g. Aboriginal and Torres Strait Islander peoples</w:t>
      </w:r>
      <w:r w:rsidR="00C55747">
        <w:rPr>
          <w:rStyle w:val="FootnoteReference"/>
          <w:sz w:val="22"/>
          <w:szCs w:val="22"/>
        </w:rPr>
        <w:footnoteReference w:id="8"/>
      </w:r>
      <w:r w:rsidR="009911ED">
        <w:rPr>
          <w:sz w:val="22"/>
          <w:szCs w:val="22"/>
        </w:rPr>
        <w:t>, LGBTQI communities</w:t>
      </w:r>
      <w:r w:rsidR="00C55747">
        <w:rPr>
          <w:rStyle w:val="FootnoteReference"/>
          <w:sz w:val="22"/>
          <w:szCs w:val="22"/>
        </w:rPr>
        <w:footnoteReference w:id="9"/>
      </w:r>
      <w:r w:rsidR="009911ED">
        <w:rPr>
          <w:sz w:val="22"/>
          <w:szCs w:val="22"/>
        </w:rPr>
        <w:t>, veterans</w:t>
      </w:r>
      <w:r w:rsidR="00BA3096">
        <w:rPr>
          <w:rStyle w:val="FootnoteReference"/>
          <w:sz w:val="22"/>
          <w:szCs w:val="22"/>
        </w:rPr>
        <w:footnoteReference w:id="10"/>
      </w:r>
      <w:r w:rsidR="009911ED">
        <w:rPr>
          <w:sz w:val="22"/>
          <w:szCs w:val="22"/>
        </w:rPr>
        <w:t xml:space="preserve"> and males</w:t>
      </w:r>
      <w:r w:rsidR="00B765EF">
        <w:rPr>
          <w:rStyle w:val="FootnoteReference"/>
          <w:sz w:val="22"/>
          <w:szCs w:val="22"/>
        </w:rPr>
        <w:footnoteReference w:id="11"/>
      </w:r>
      <w:r w:rsidR="002A5A41" w:rsidRPr="002A5A41">
        <w:rPr>
          <w:sz w:val="22"/>
          <w:szCs w:val="22"/>
          <w:vertAlign w:val="superscript"/>
        </w:rPr>
        <w:t>,</w:t>
      </w:r>
      <w:r w:rsidR="009911ED" w:rsidRPr="009911ED">
        <w:rPr>
          <w:sz w:val="22"/>
          <w:szCs w:val="22"/>
          <w:vertAlign w:val="superscript"/>
        </w:rPr>
        <w:t>2</w:t>
      </w:r>
      <w:r w:rsidR="009911ED">
        <w:rPr>
          <w:sz w:val="22"/>
          <w:szCs w:val="22"/>
        </w:rPr>
        <w:t>.</w:t>
      </w:r>
    </w:p>
    <w:p w14:paraId="7AEC5646" w14:textId="1AF5BCC3" w:rsidR="00A033DE" w:rsidRDefault="00A033DE" w:rsidP="00EB6845">
      <w:pPr>
        <w:spacing w:before="0" w:after="0" w:line="240" w:lineRule="auto"/>
        <w:rPr>
          <w:sz w:val="22"/>
          <w:szCs w:val="22"/>
        </w:rPr>
      </w:pPr>
    </w:p>
    <w:p w14:paraId="2BF9F842" w14:textId="22CF6309" w:rsidR="00BC5F1F" w:rsidRDefault="001A269C" w:rsidP="00EB6845">
      <w:pPr>
        <w:spacing w:before="0" w:after="0" w:line="240" w:lineRule="auto"/>
        <w:rPr>
          <w:sz w:val="22"/>
          <w:szCs w:val="22"/>
        </w:rPr>
      </w:pPr>
      <w:r>
        <w:rPr>
          <w:sz w:val="22"/>
          <w:szCs w:val="22"/>
        </w:rPr>
        <w:lastRenderedPageBreak/>
        <w:t>Research into the efficacy of aftercare services among priority populations is crucial if we are to effectively target suicide prevention efforts and reduce suicide within these communities.</w:t>
      </w:r>
      <w:r w:rsidR="00BC5F1F">
        <w:rPr>
          <w:sz w:val="22"/>
          <w:szCs w:val="22"/>
        </w:rPr>
        <w:t xml:space="preserve">  </w:t>
      </w:r>
      <w:r>
        <w:rPr>
          <w:sz w:val="22"/>
          <w:szCs w:val="22"/>
        </w:rPr>
        <w:t xml:space="preserve">Without robust evaluation of aftercare </w:t>
      </w:r>
      <w:r w:rsidR="009C491E">
        <w:rPr>
          <w:sz w:val="22"/>
          <w:szCs w:val="22"/>
        </w:rPr>
        <w:t>services,</w:t>
      </w:r>
      <w:r>
        <w:rPr>
          <w:sz w:val="22"/>
          <w:szCs w:val="22"/>
        </w:rPr>
        <w:t xml:space="preserve"> it is difficult to identify the components of effective care and how to tailor them to meet the needs of diverse population groups. </w:t>
      </w:r>
    </w:p>
    <w:p w14:paraId="509AEDA4" w14:textId="77777777" w:rsidR="00BC5F1F" w:rsidRDefault="00BC5F1F" w:rsidP="00EB6845">
      <w:pPr>
        <w:spacing w:before="0" w:after="0" w:line="240" w:lineRule="auto"/>
        <w:rPr>
          <w:sz w:val="22"/>
          <w:szCs w:val="22"/>
        </w:rPr>
      </w:pPr>
    </w:p>
    <w:p w14:paraId="05AD7039" w14:textId="528843B9" w:rsidR="001A269C" w:rsidRPr="00654879" w:rsidRDefault="001A269C" w:rsidP="00EB6845">
      <w:pPr>
        <w:spacing w:before="0" w:after="0" w:line="240" w:lineRule="auto"/>
        <w:rPr>
          <w:sz w:val="22"/>
          <w:szCs w:val="22"/>
        </w:rPr>
      </w:pPr>
      <w:r>
        <w:rPr>
          <w:sz w:val="22"/>
          <w:szCs w:val="22"/>
        </w:rPr>
        <w:t>The National Mental Health Commission are best placed to be tasked with researching and evaluating the efficacy of aftercare services, including particular attention on priority population groups, and deliver a publicly available report by 2021 to provide an evidence base for the further development of aftercare services.</w:t>
      </w:r>
    </w:p>
    <w:p w14:paraId="71DB67B6" w14:textId="77777777" w:rsidR="00472A12" w:rsidRPr="007B12CD" w:rsidRDefault="00472A12" w:rsidP="00EB6845">
      <w:pPr>
        <w:spacing w:before="0" w:after="0" w:line="240" w:lineRule="auto"/>
      </w:pPr>
    </w:p>
    <w:tbl>
      <w:tblPr>
        <w:tblStyle w:val="TableGrid"/>
        <w:tblW w:w="0" w:type="auto"/>
        <w:tblLook w:val="04A0" w:firstRow="1" w:lastRow="0" w:firstColumn="1" w:lastColumn="0" w:noHBand="0" w:noVBand="1"/>
      </w:tblPr>
      <w:tblGrid>
        <w:gridCol w:w="9016"/>
      </w:tblGrid>
      <w:tr w:rsidR="00043541" w14:paraId="5BAE0BED" w14:textId="77777777" w:rsidTr="00043541">
        <w:tc>
          <w:tcPr>
            <w:tcW w:w="9016" w:type="dxa"/>
            <w:tcBorders>
              <w:top w:val="single" w:sz="24" w:space="0" w:color="C6E6FA" w:themeColor="accent1" w:themeTint="33"/>
              <w:left w:val="nil"/>
              <w:bottom w:val="nil"/>
              <w:right w:val="nil"/>
            </w:tcBorders>
          </w:tcPr>
          <w:p w14:paraId="605944B7" w14:textId="77777777" w:rsidR="00043541" w:rsidRDefault="00043541" w:rsidP="00043541"/>
        </w:tc>
      </w:tr>
    </w:tbl>
    <w:p w14:paraId="1A18AF02" w14:textId="77777777" w:rsidR="00D3767E" w:rsidRPr="00AD5A4E" w:rsidRDefault="00D3767E" w:rsidP="00D3767E">
      <w:pPr>
        <w:jc w:val="center"/>
        <w:rPr>
          <w:sz w:val="16"/>
          <w:szCs w:val="16"/>
        </w:rPr>
      </w:pPr>
      <w:r w:rsidRPr="00AD5A4E">
        <w:rPr>
          <w:sz w:val="16"/>
          <w:szCs w:val="16"/>
        </w:rPr>
        <w:t xml:space="preserve">This position paper was adopted by the Suicide Prevention Australia Board on </w:t>
      </w:r>
      <w:r w:rsidRPr="00AD5A4E">
        <w:rPr>
          <w:sz w:val="16"/>
          <w:szCs w:val="16"/>
          <w:highlight w:val="yellow"/>
        </w:rPr>
        <w:t>XX MONTH YEAR</w:t>
      </w:r>
      <w:r w:rsidRPr="00AD5A4E">
        <w:rPr>
          <w:sz w:val="16"/>
          <w:szCs w:val="16"/>
        </w:rPr>
        <w:t>.</w:t>
      </w:r>
    </w:p>
    <w:sectPr w:rsidR="00D3767E" w:rsidRPr="00AD5A4E" w:rsidSect="00AD5A4E">
      <w:headerReference w:type="default" r:id="rId9"/>
      <w:footerReference w:type="default" r:id="rId10"/>
      <w:pgSz w:w="11906" w:h="16838"/>
      <w:pgMar w:top="1440" w:right="1440" w:bottom="1440" w:left="1440" w:header="708" w:footer="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10AB5" w14:textId="77777777" w:rsidR="00D0652D" w:rsidRDefault="00D0652D" w:rsidP="00A8159B">
      <w:pPr>
        <w:spacing w:after="0" w:line="240" w:lineRule="auto"/>
      </w:pPr>
      <w:r>
        <w:separator/>
      </w:r>
    </w:p>
  </w:endnote>
  <w:endnote w:type="continuationSeparator" w:id="0">
    <w:p w14:paraId="76C99F4C" w14:textId="77777777" w:rsidR="00D0652D" w:rsidRDefault="00D0652D" w:rsidP="00A8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6"/>
        <w:szCs w:val="16"/>
      </w:rPr>
      <w:id w:val="517972326"/>
      <w:docPartObj>
        <w:docPartGallery w:val="Page Numbers (Bottom of Page)"/>
        <w:docPartUnique/>
      </w:docPartObj>
    </w:sdtPr>
    <w:sdtEndPr>
      <w:rPr>
        <w:rFonts w:cstheme="minorBidi"/>
        <w:sz w:val="20"/>
        <w:szCs w:val="20"/>
      </w:rPr>
    </w:sdtEndPr>
    <w:sdtContent>
      <w:tbl>
        <w:tblPr>
          <w:tblStyle w:val="TableGrid"/>
          <w:tblW w:w="0" w:type="auto"/>
          <w:tblLook w:val="04A0" w:firstRow="1" w:lastRow="0" w:firstColumn="1" w:lastColumn="0" w:noHBand="0" w:noVBand="1"/>
        </w:tblPr>
        <w:tblGrid>
          <w:gridCol w:w="5529"/>
          <w:gridCol w:w="3487"/>
        </w:tblGrid>
        <w:tr w:rsidR="00D0652D" w14:paraId="346477B4" w14:textId="77777777" w:rsidTr="00AB3088">
          <w:tc>
            <w:tcPr>
              <w:tcW w:w="5529" w:type="dxa"/>
              <w:tcBorders>
                <w:top w:val="nil"/>
                <w:left w:val="nil"/>
                <w:bottom w:val="nil"/>
                <w:right w:val="nil"/>
              </w:tcBorders>
            </w:tcPr>
            <w:p w14:paraId="56D3073F" w14:textId="206C9B9B" w:rsidR="00D0652D" w:rsidRPr="00AB3088" w:rsidRDefault="00D0652D" w:rsidP="00AD5A4E">
              <w:pPr>
                <w:rPr>
                  <w:rFonts w:cstheme="minorHAnsi"/>
                  <w:sz w:val="16"/>
                  <w:szCs w:val="16"/>
                </w:rPr>
              </w:pPr>
              <w:r w:rsidRPr="00AB3088">
                <w:rPr>
                  <w:rFonts w:cstheme="minorHAnsi"/>
                  <w:sz w:val="16"/>
                  <w:szCs w:val="16"/>
                </w:rPr>
                <w:t xml:space="preserve">There are crisis services available 24/7 if you or someone you know is in distress: </w:t>
              </w:r>
            </w:p>
            <w:p w14:paraId="019A39F1" w14:textId="77777777" w:rsidR="00D0652D" w:rsidRPr="00AB3088" w:rsidRDefault="00D0652D" w:rsidP="00AD5A4E">
              <w:pPr>
                <w:rPr>
                  <w:rFonts w:cstheme="minorHAnsi"/>
                  <w:sz w:val="16"/>
                  <w:szCs w:val="16"/>
                </w:rPr>
              </w:pPr>
            </w:p>
            <w:p w14:paraId="6B733DBD" w14:textId="77604BD1" w:rsidR="00D0652D" w:rsidRPr="00AB3088" w:rsidRDefault="00D0652D" w:rsidP="00AD5A4E">
              <w:pPr>
                <w:rPr>
                  <w:rFonts w:cstheme="minorHAnsi"/>
                  <w:sz w:val="16"/>
                  <w:szCs w:val="16"/>
                </w:rPr>
              </w:pPr>
              <w:r w:rsidRPr="00AB3088">
                <w:rPr>
                  <w:rFonts w:cstheme="minorHAnsi"/>
                  <w:b/>
                  <w:bCs/>
                  <w:color w:val="006DB0"/>
                  <w:sz w:val="16"/>
                  <w:szCs w:val="16"/>
                  <w:lang w:eastAsia="en-AU"/>
                </w:rPr>
                <w:t>Lifeline:</w:t>
              </w:r>
              <w:r w:rsidRPr="00AB3088">
                <w:rPr>
                  <w:rFonts w:cstheme="minorHAnsi"/>
                  <w:sz w:val="16"/>
                  <w:szCs w:val="16"/>
                </w:rPr>
                <w:t xml:space="preserve"> 13 11 14</w:t>
              </w:r>
              <w:r w:rsidRPr="00AB3088">
                <w:rPr>
                  <w:rFonts w:cstheme="minorHAnsi"/>
                  <w:sz w:val="16"/>
                  <w:szCs w:val="16"/>
                </w:rPr>
                <w:tab/>
              </w:r>
              <w:r>
                <w:rPr>
                  <w:rFonts w:cstheme="minorHAnsi"/>
                  <w:sz w:val="16"/>
                  <w:szCs w:val="16"/>
                </w:rPr>
                <w:t xml:space="preserve">                                      </w:t>
              </w:r>
              <w:r w:rsidRPr="00AB3088">
                <w:rPr>
                  <w:rFonts w:cstheme="minorHAnsi"/>
                  <w:sz w:val="16"/>
                  <w:szCs w:val="16"/>
                </w:rPr>
                <w:t>www.lifeline.org.au</w:t>
              </w:r>
            </w:p>
            <w:p w14:paraId="6A267072" w14:textId="047FC030" w:rsidR="00D0652D" w:rsidRPr="00AB3088" w:rsidRDefault="00D0652D" w:rsidP="00AB3088">
              <w:pPr>
                <w:rPr>
                  <w:rFonts w:cstheme="minorHAnsi"/>
                  <w:sz w:val="16"/>
                  <w:szCs w:val="16"/>
                </w:rPr>
              </w:pPr>
              <w:r w:rsidRPr="00AB3088">
                <w:rPr>
                  <w:rFonts w:cstheme="minorHAnsi"/>
                  <w:b/>
                  <w:bCs/>
                  <w:color w:val="006DB0"/>
                  <w:sz w:val="16"/>
                  <w:szCs w:val="16"/>
                  <w:lang w:eastAsia="en-AU"/>
                </w:rPr>
                <w:t>Suicide Call Back Service:</w:t>
              </w:r>
              <w:r w:rsidRPr="00AB3088">
                <w:rPr>
                  <w:rFonts w:cstheme="minorHAnsi"/>
                  <w:sz w:val="16"/>
                  <w:szCs w:val="16"/>
                </w:rPr>
                <w:t xml:space="preserve"> 1300 659 467</w:t>
              </w:r>
              <w:r>
                <w:rPr>
                  <w:rFonts w:cstheme="minorHAnsi"/>
                  <w:sz w:val="16"/>
                  <w:szCs w:val="16"/>
                </w:rPr>
                <w:t xml:space="preserve">       </w:t>
              </w:r>
              <w:hyperlink r:id="rId1" w:history="1">
                <w:r w:rsidRPr="00AB3088">
                  <w:rPr>
                    <w:rFonts w:cstheme="minorHAnsi"/>
                    <w:sz w:val="16"/>
                    <w:szCs w:val="16"/>
                  </w:rPr>
                  <w:t>www.suicidecallbackservice.org.au</w:t>
                </w:r>
              </w:hyperlink>
              <w:r>
                <w:rPr>
                  <w:rFonts w:cstheme="minorHAnsi"/>
                  <w:sz w:val="16"/>
                  <w:szCs w:val="16"/>
                </w:rPr>
                <w:t xml:space="preserve"> </w:t>
              </w:r>
            </w:p>
          </w:tc>
          <w:tc>
            <w:tcPr>
              <w:tcW w:w="3487" w:type="dxa"/>
              <w:tcBorders>
                <w:top w:val="nil"/>
                <w:left w:val="nil"/>
                <w:bottom w:val="nil"/>
                <w:right w:val="nil"/>
              </w:tcBorders>
            </w:tcPr>
            <w:p w14:paraId="2B24F613" w14:textId="77777777" w:rsidR="00D0652D" w:rsidRPr="00AB3088" w:rsidRDefault="00D0652D" w:rsidP="00AB3088">
              <w:pPr>
                <w:jc w:val="right"/>
                <w:rPr>
                  <w:rFonts w:cstheme="minorHAnsi"/>
                  <w:b/>
                  <w:bCs/>
                  <w:color w:val="006DB0"/>
                  <w:sz w:val="16"/>
                  <w:szCs w:val="16"/>
                  <w:lang w:eastAsia="en-AU"/>
                </w:rPr>
              </w:pPr>
              <w:r w:rsidRPr="00AB3088">
                <w:rPr>
                  <w:rFonts w:cstheme="minorHAnsi"/>
                  <w:b/>
                  <w:bCs/>
                  <w:color w:val="006DB0"/>
                  <w:sz w:val="16"/>
                  <w:szCs w:val="16"/>
                  <w:lang w:eastAsia="en-AU"/>
                </w:rPr>
                <w:t xml:space="preserve">Suicide Prevention Australia </w:t>
              </w:r>
            </w:p>
            <w:p w14:paraId="7830C75E" w14:textId="14235949" w:rsidR="00D0652D" w:rsidRPr="00AB3088" w:rsidRDefault="00D0652D" w:rsidP="00AB3088">
              <w:pPr>
                <w:jc w:val="right"/>
                <w:rPr>
                  <w:rFonts w:cstheme="minorHAnsi"/>
                  <w:sz w:val="16"/>
                  <w:szCs w:val="16"/>
                </w:rPr>
              </w:pPr>
              <w:r w:rsidRPr="00AB3088">
                <w:rPr>
                  <w:rFonts w:cstheme="minorHAnsi"/>
                  <w:b/>
                  <w:bCs/>
                  <w:color w:val="006DB0"/>
                  <w:sz w:val="16"/>
                  <w:szCs w:val="16"/>
                  <w:lang w:eastAsia="en-AU"/>
                </w:rPr>
                <w:t xml:space="preserve">Phone: </w:t>
              </w:r>
              <w:r w:rsidRPr="00AB3088">
                <w:rPr>
                  <w:rFonts w:cstheme="minorHAnsi"/>
                  <w:sz w:val="16"/>
                  <w:szCs w:val="16"/>
                </w:rPr>
                <w:t>02 9262 1130</w:t>
              </w:r>
            </w:p>
            <w:p w14:paraId="1C4BFD69" w14:textId="052912C3" w:rsidR="00D0652D" w:rsidRPr="00AB3088" w:rsidRDefault="00D0652D" w:rsidP="00AB3088">
              <w:pPr>
                <w:jc w:val="right"/>
                <w:rPr>
                  <w:rFonts w:cstheme="minorHAnsi"/>
                  <w:sz w:val="16"/>
                  <w:szCs w:val="16"/>
                </w:rPr>
              </w:pPr>
              <w:r w:rsidRPr="00AB3088">
                <w:rPr>
                  <w:rFonts w:cstheme="minorHAnsi"/>
                  <w:b/>
                  <w:bCs/>
                  <w:color w:val="006DB0"/>
                  <w:sz w:val="16"/>
                  <w:szCs w:val="16"/>
                  <w:lang w:eastAsia="en-AU"/>
                </w:rPr>
                <w:t>Email:</w:t>
              </w:r>
              <w:r w:rsidRPr="00AB3088">
                <w:rPr>
                  <w:rFonts w:cstheme="minorHAnsi"/>
                  <w:sz w:val="16"/>
                  <w:szCs w:val="16"/>
                </w:rPr>
                <w:t xml:space="preserve"> </w:t>
              </w:r>
              <w:hyperlink r:id="rId2" w:history="1">
                <w:r w:rsidRPr="00AB3088">
                  <w:rPr>
                    <w:rFonts w:cstheme="minorHAnsi"/>
                    <w:sz w:val="16"/>
                    <w:szCs w:val="16"/>
                  </w:rPr>
                  <w:t>admin@suicidepreventionaust.org</w:t>
                </w:r>
              </w:hyperlink>
              <w:r w:rsidRPr="00AB3088">
                <w:rPr>
                  <w:rFonts w:cstheme="minorHAnsi"/>
                  <w:sz w:val="16"/>
                  <w:szCs w:val="16"/>
                </w:rPr>
                <w:t xml:space="preserve"> </w:t>
              </w:r>
            </w:p>
            <w:p w14:paraId="5FB4C132" w14:textId="18A9B4A7" w:rsidR="00D0652D" w:rsidRPr="00AB3088" w:rsidRDefault="00D0652D" w:rsidP="00AB3088">
              <w:pPr>
                <w:jc w:val="right"/>
                <w:rPr>
                  <w:rFonts w:cstheme="minorHAnsi"/>
                  <w:sz w:val="16"/>
                  <w:szCs w:val="16"/>
                </w:rPr>
              </w:pPr>
              <w:r w:rsidRPr="00AB3088">
                <w:rPr>
                  <w:rFonts w:cstheme="minorHAnsi"/>
                  <w:b/>
                  <w:bCs/>
                  <w:color w:val="006DB0"/>
                  <w:sz w:val="16"/>
                  <w:szCs w:val="16"/>
                  <w:lang w:eastAsia="en-AU"/>
                </w:rPr>
                <w:t>Web:</w:t>
              </w:r>
              <w:r w:rsidRPr="00AB3088">
                <w:rPr>
                  <w:rFonts w:cstheme="minorHAnsi"/>
                  <w:sz w:val="16"/>
                  <w:szCs w:val="16"/>
                </w:rPr>
                <w:t xml:space="preserve"> </w:t>
              </w:r>
              <w:hyperlink r:id="rId3" w:history="1">
                <w:r w:rsidRPr="00AB3088">
                  <w:rPr>
                    <w:rFonts w:cstheme="minorHAnsi"/>
                    <w:sz w:val="16"/>
                    <w:szCs w:val="16"/>
                  </w:rPr>
                  <w:t>www.suicidepreventionaust.org</w:t>
                </w:r>
              </w:hyperlink>
            </w:p>
          </w:tc>
        </w:tr>
        <w:tr w:rsidR="00D0652D" w14:paraId="2EE73D93" w14:textId="77777777" w:rsidTr="00AB3088">
          <w:tc>
            <w:tcPr>
              <w:tcW w:w="5529" w:type="dxa"/>
              <w:tcBorders>
                <w:top w:val="nil"/>
                <w:left w:val="nil"/>
                <w:bottom w:val="nil"/>
                <w:right w:val="nil"/>
              </w:tcBorders>
            </w:tcPr>
            <w:p w14:paraId="0B59F2F5" w14:textId="77777777" w:rsidR="00D0652D" w:rsidRPr="00AB3088" w:rsidRDefault="00D0652D" w:rsidP="00AD5A4E">
              <w:pPr>
                <w:rPr>
                  <w:rFonts w:cstheme="minorHAnsi"/>
                  <w:sz w:val="16"/>
                  <w:szCs w:val="16"/>
                </w:rPr>
              </w:pPr>
            </w:p>
          </w:tc>
          <w:tc>
            <w:tcPr>
              <w:tcW w:w="3487" w:type="dxa"/>
              <w:tcBorders>
                <w:top w:val="nil"/>
                <w:left w:val="nil"/>
                <w:bottom w:val="nil"/>
                <w:right w:val="nil"/>
              </w:tcBorders>
            </w:tcPr>
            <w:p w14:paraId="14CA45DF" w14:textId="77777777" w:rsidR="00D0652D" w:rsidRPr="00AB3088" w:rsidRDefault="00D0652D" w:rsidP="00AD5A4E">
              <w:pPr>
                <w:rPr>
                  <w:rFonts w:cstheme="minorHAnsi"/>
                  <w:b/>
                  <w:bCs/>
                  <w:color w:val="006DB0"/>
                  <w:sz w:val="16"/>
                  <w:szCs w:val="16"/>
                  <w:lang w:eastAsia="en-AU"/>
                </w:rPr>
              </w:pPr>
            </w:p>
          </w:tc>
        </w:tr>
      </w:tbl>
      <w:p w14:paraId="2045C5CF" w14:textId="44724EAA" w:rsidR="00D0652D" w:rsidRPr="00AD5A4E" w:rsidRDefault="00BC5F1F" w:rsidP="00AD5A4E">
        <w:pPr>
          <w:rPr>
            <w:sz w:val="16"/>
            <w:szCs w:val="16"/>
          </w:rPr>
        </w:pPr>
      </w:p>
    </w:sdtContent>
  </w:sdt>
  <w:p w14:paraId="2E47E01D" w14:textId="0C5B2922" w:rsidR="00D0652D" w:rsidRDefault="00D065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4A505" w14:textId="77777777" w:rsidR="00D0652D" w:rsidRDefault="00D0652D" w:rsidP="00A8159B">
      <w:pPr>
        <w:spacing w:after="0" w:line="240" w:lineRule="auto"/>
      </w:pPr>
      <w:r>
        <w:separator/>
      </w:r>
    </w:p>
  </w:footnote>
  <w:footnote w:type="continuationSeparator" w:id="0">
    <w:p w14:paraId="498D77AB" w14:textId="77777777" w:rsidR="00D0652D" w:rsidRDefault="00D0652D" w:rsidP="00A8159B">
      <w:pPr>
        <w:spacing w:after="0" w:line="240" w:lineRule="auto"/>
      </w:pPr>
      <w:r>
        <w:continuationSeparator/>
      </w:r>
    </w:p>
  </w:footnote>
  <w:footnote w:id="1">
    <w:p w14:paraId="3D612E91" w14:textId="647A154A" w:rsidR="00D0652D" w:rsidRPr="00BC5F1F" w:rsidRDefault="00D0652D">
      <w:pPr>
        <w:pStyle w:val="FootnoteText"/>
        <w:rPr>
          <w:sz w:val="16"/>
          <w:szCs w:val="16"/>
        </w:rPr>
      </w:pPr>
      <w:r w:rsidRPr="00BC5F1F">
        <w:rPr>
          <w:rStyle w:val="FootnoteReference"/>
          <w:sz w:val="16"/>
          <w:szCs w:val="16"/>
        </w:rPr>
        <w:footnoteRef/>
      </w:r>
      <w:r w:rsidRPr="00BC5F1F">
        <w:rPr>
          <w:sz w:val="16"/>
          <w:szCs w:val="16"/>
        </w:rPr>
        <w:t xml:space="preserve"> Christiansen, E, and B F Jensen. 2007. “Risk of repetition of suicide attempt, suicide or all deaths after an episoded of attempted suicide: a register-based survival analysis.” </w:t>
      </w:r>
      <w:r w:rsidRPr="00BC5F1F">
        <w:rPr>
          <w:i/>
          <w:iCs/>
          <w:sz w:val="16"/>
          <w:szCs w:val="16"/>
        </w:rPr>
        <w:t>Australian and New Zealand Journal of Psychiatry</w:t>
      </w:r>
      <w:r w:rsidRPr="00BC5F1F">
        <w:rPr>
          <w:sz w:val="16"/>
          <w:szCs w:val="16"/>
        </w:rPr>
        <w:t xml:space="preserve"> 41: 257-265.</w:t>
      </w:r>
    </w:p>
  </w:footnote>
  <w:footnote w:id="2">
    <w:p w14:paraId="629640BB" w14:textId="46AF6436" w:rsidR="00D0652D" w:rsidRPr="00BC5F1F" w:rsidRDefault="00D0652D">
      <w:pPr>
        <w:pStyle w:val="FootnoteText"/>
        <w:rPr>
          <w:sz w:val="16"/>
          <w:szCs w:val="16"/>
          <w:lang w:val="en-US"/>
        </w:rPr>
      </w:pPr>
      <w:r w:rsidRPr="00BC5F1F">
        <w:rPr>
          <w:rStyle w:val="FootnoteReference"/>
          <w:sz w:val="16"/>
          <w:szCs w:val="16"/>
        </w:rPr>
        <w:footnoteRef/>
      </w:r>
      <w:r w:rsidRPr="00BC5F1F">
        <w:rPr>
          <w:sz w:val="16"/>
          <w:szCs w:val="16"/>
        </w:rPr>
        <w:t xml:space="preserve"> </w:t>
      </w:r>
      <w:r w:rsidRPr="00BC5F1F">
        <w:rPr>
          <w:sz w:val="16"/>
          <w:szCs w:val="16"/>
          <w:lang w:val="en-US"/>
        </w:rPr>
        <w:t xml:space="preserve">Shand, F, A Woodward, K McGill, M Larsen, and M Torok. 2019. </w:t>
      </w:r>
      <w:r w:rsidRPr="00BC5F1F">
        <w:rPr>
          <w:i/>
          <w:iCs/>
          <w:sz w:val="16"/>
          <w:szCs w:val="16"/>
          <w:lang w:val="en-US"/>
        </w:rPr>
        <w:t>Suicide aftercare services: an Evidence Check rapid review.</w:t>
      </w:r>
      <w:r w:rsidRPr="00BC5F1F">
        <w:rPr>
          <w:sz w:val="16"/>
          <w:szCs w:val="16"/>
          <w:lang w:val="en-US"/>
        </w:rPr>
        <w:t xml:space="preserve"> brokered by the Sax Institute for the NSW Ministry of Health.</w:t>
      </w:r>
    </w:p>
  </w:footnote>
  <w:footnote w:id="3">
    <w:p w14:paraId="4B86E5C7" w14:textId="77777777" w:rsidR="00D0652D" w:rsidRPr="00BC5F1F" w:rsidRDefault="00D0652D" w:rsidP="00E521FA">
      <w:pPr>
        <w:pStyle w:val="FootnoteText"/>
        <w:rPr>
          <w:sz w:val="16"/>
          <w:szCs w:val="16"/>
          <w:lang w:val="en-US"/>
        </w:rPr>
      </w:pPr>
      <w:r w:rsidRPr="00BC5F1F">
        <w:rPr>
          <w:rStyle w:val="FootnoteReference"/>
          <w:sz w:val="16"/>
          <w:szCs w:val="16"/>
        </w:rPr>
        <w:footnoteRef/>
      </w:r>
      <w:r w:rsidRPr="00BC5F1F">
        <w:rPr>
          <w:sz w:val="16"/>
          <w:szCs w:val="16"/>
        </w:rPr>
        <w:t xml:space="preserve"> </w:t>
      </w:r>
      <w:r w:rsidRPr="00BC5F1F">
        <w:rPr>
          <w:sz w:val="16"/>
          <w:szCs w:val="16"/>
          <w:lang w:val="en-US"/>
        </w:rPr>
        <w:t xml:space="preserve">Hunt, I M, N Kapur, R Webb, J Robinson, J Burns, J Shaw, and L Appleby. 2008. "Suicide in recently discharged psychiatric patients: a case-control study." </w:t>
      </w:r>
      <w:r w:rsidRPr="00BC5F1F">
        <w:rPr>
          <w:i/>
          <w:iCs/>
          <w:sz w:val="16"/>
          <w:szCs w:val="16"/>
          <w:lang w:val="en-US"/>
        </w:rPr>
        <w:t>Psychological Medicine</w:t>
      </w:r>
      <w:r w:rsidRPr="00BC5F1F">
        <w:rPr>
          <w:sz w:val="16"/>
          <w:szCs w:val="16"/>
          <w:lang w:val="en-US"/>
        </w:rPr>
        <w:t xml:space="preserve"> 39: 443-449.</w:t>
      </w:r>
    </w:p>
  </w:footnote>
  <w:footnote w:id="4">
    <w:p w14:paraId="6C797E20" w14:textId="02D29060" w:rsidR="00D0652D" w:rsidRPr="007D5017" w:rsidRDefault="00D0652D">
      <w:pPr>
        <w:pStyle w:val="FootnoteText"/>
        <w:rPr>
          <w:lang w:val="en-US"/>
        </w:rPr>
      </w:pPr>
      <w:r w:rsidRPr="00BC5F1F">
        <w:rPr>
          <w:rStyle w:val="FootnoteReference"/>
          <w:sz w:val="16"/>
          <w:szCs w:val="16"/>
        </w:rPr>
        <w:footnoteRef/>
      </w:r>
      <w:r w:rsidRPr="00BC5F1F">
        <w:rPr>
          <w:sz w:val="16"/>
          <w:szCs w:val="16"/>
        </w:rPr>
        <w:t xml:space="preserve"> </w:t>
      </w:r>
      <w:r w:rsidRPr="00BC5F1F">
        <w:rPr>
          <w:sz w:val="16"/>
          <w:szCs w:val="16"/>
          <w:lang w:val="en-US"/>
        </w:rPr>
        <w:t xml:space="preserve">Stanley, B, G K Brown, L A Brenner, H C Galfalvy, G W Currier, K L Know, S R Chaudhury, A L Bush, and K L Green. 2018. "Comparison of the Safety Planning Intervention with follow-up vs usual care of suicidal patients treated in the emergency department." </w:t>
      </w:r>
      <w:r w:rsidRPr="00BC5F1F">
        <w:rPr>
          <w:i/>
          <w:iCs/>
          <w:sz w:val="16"/>
          <w:szCs w:val="16"/>
          <w:lang w:val="en-US"/>
        </w:rPr>
        <w:t>JAMA Psychiatry</w:t>
      </w:r>
      <w:r w:rsidRPr="00BC5F1F">
        <w:rPr>
          <w:sz w:val="16"/>
          <w:szCs w:val="16"/>
          <w:lang w:val="en-US"/>
        </w:rPr>
        <w:t xml:space="preserve"> 75 (9): 894-900.</w:t>
      </w:r>
    </w:p>
  </w:footnote>
  <w:footnote w:id="5">
    <w:p w14:paraId="3C926BC3" w14:textId="7F65B504" w:rsidR="00D0652D" w:rsidRPr="00BC5F1F" w:rsidRDefault="00D0652D">
      <w:pPr>
        <w:pStyle w:val="FootnoteText"/>
        <w:rPr>
          <w:sz w:val="16"/>
          <w:szCs w:val="16"/>
          <w:lang w:val="en-US"/>
        </w:rPr>
      </w:pPr>
      <w:r w:rsidRPr="00BC5F1F">
        <w:rPr>
          <w:rStyle w:val="FootnoteReference"/>
          <w:sz w:val="16"/>
          <w:szCs w:val="16"/>
        </w:rPr>
        <w:footnoteRef/>
      </w:r>
      <w:r w:rsidRPr="00BC5F1F">
        <w:rPr>
          <w:sz w:val="16"/>
          <w:szCs w:val="16"/>
        </w:rPr>
        <w:t xml:space="preserve"> </w:t>
      </w:r>
      <w:r w:rsidRPr="00BC5F1F">
        <w:rPr>
          <w:sz w:val="16"/>
          <w:szCs w:val="16"/>
          <w:lang w:val="en-US"/>
        </w:rPr>
        <w:t>Woden Community Service. 2018. "The ACT Way Back Support Service Trial: Final Report." Canberra.</w:t>
      </w:r>
    </w:p>
  </w:footnote>
  <w:footnote w:id="6">
    <w:p w14:paraId="47BE75D1" w14:textId="77777777" w:rsidR="00D0652D" w:rsidRPr="00BC5F1F" w:rsidRDefault="00D0652D" w:rsidP="00D0652D">
      <w:pPr>
        <w:pStyle w:val="FootnoteText"/>
        <w:rPr>
          <w:sz w:val="16"/>
          <w:szCs w:val="16"/>
          <w:lang w:val="en-US"/>
        </w:rPr>
      </w:pPr>
      <w:r w:rsidRPr="00BC5F1F">
        <w:rPr>
          <w:rStyle w:val="FootnoteReference"/>
          <w:sz w:val="16"/>
          <w:szCs w:val="16"/>
        </w:rPr>
        <w:footnoteRef/>
      </w:r>
      <w:r w:rsidRPr="00BC5F1F">
        <w:rPr>
          <w:sz w:val="16"/>
          <w:szCs w:val="16"/>
        </w:rPr>
        <w:t xml:space="preserve"> </w:t>
      </w:r>
      <w:r w:rsidRPr="00BC5F1F">
        <w:rPr>
          <w:sz w:val="16"/>
          <w:szCs w:val="16"/>
          <w:lang w:val="en-US"/>
        </w:rPr>
        <w:t xml:space="preserve">Ridani, R. et al., 2016. </w:t>
      </w:r>
      <w:r w:rsidRPr="00BC5F1F">
        <w:rPr>
          <w:i/>
          <w:iCs/>
          <w:sz w:val="16"/>
          <w:szCs w:val="16"/>
          <w:lang w:val="en-US"/>
        </w:rPr>
        <w:t xml:space="preserve">An evidence-based systems approach to suicide prevention: guidance on planning, commissioning and monitoring, </w:t>
      </w:r>
      <w:r w:rsidRPr="00BC5F1F">
        <w:rPr>
          <w:sz w:val="16"/>
          <w:szCs w:val="16"/>
          <w:lang w:val="en-US"/>
        </w:rPr>
        <w:t>Sydney: Black Dog Institute.</w:t>
      </w:r>
    </w:p>
  </w:footnote>
  <w:footnote w:id="7">
    <w:p w14:paraId="0345B091" w14:textId="46EE8C8C" w:rsidR="00D0652D" w:rsidRPr="00BC5F1F" w:rsidRDefault="00D0652D" w:rsidP="00C83A54">
      <w:pPr>
        <w:pStyle w:val="FootnoteText"/>
        <w:rPr>
          <w:sz w:val="16"/>
          <w:szCs w:val="16"/>
        </w:rPr>
      </w:pPr>
      <w:r w:rsidRPr="00BC5F1F">
        <w:rPr>
          <w:rStyle w:val="FootnoteReference"/>
          <w:sz w:val="16"/>
          <w:szCs w:val="16"/>
        </w:rPr>
        <w:footnoteRef/>
      </w:r>
      <w:r w:rsidRPr="00BC5F1F">
        <w:rPr>
          <w:sz w:val="16"/>
          <w:szCs w:val="16"/>
        </w:rPr>
        <w:t xml:space="preserve"> Beyond Blue. 2019. </w:t>
      </w:r>
      <w:r w:rsidRPr="00BC5F1F">
        <w:rPr>
          <w:i/>
          <w:iCs/>
          <w:sz w:val="16"/>
          <w:szCs w:val="16"/>
        </w:rPr>
        <w:t xml:space="preserve">South Australia support The Way Back. </w:t>
      </w:r>
      <w:r w:rsidR="00BA3096" w:rsidRPr="00BC5F1F">
        <w:rPr>
          <w:iCs/>
          <w:sz w:val="16"/>
          <w:szCs w:val="16"/>
        </w:rPr>
        <w:t xml:space="preserve">[Online] </w:t>
      </w:r>
      <w:r w:rsidR="00BA3096" w:rsidRPr="00BC5F1F">
        <w:rPr>
          <w:sz w:val="16"/>
          <w:szCs w:val="16"/>
        </w:rPr>
        <w:t xml:space="preserve">Available at: </w:t>
      </w:r>
      <w:hyperlink r:id="rId1" w:history="1">
        <w:r w:rsidR="00BA3096" w:rsidRPr="00BC5F1F">
          <w:rPr>
            <w:rStyle w:val="Hyperlink"/>
            <w:sz w:val="16"/>
            <w:szCs w:val="16"/>
          </w:rPr>
          <w:t>https://www.beyondblue.org.au/media/media-releases/media-releases/south-australia-supports-the-way-back</w:t>
        </w:r>
      </w:hyperlink>
      <w:r w:rsidR="00BA3096" w:rsidRPr="00BC5F1F">
        <w:rPr>
          <w:sz w:val="16"/>
          <w:szCs w:val="16"/>
        </w:rPr>
        <w:t xml:space="preserve"> [Accessed 6 February 2020].</w:t>
      </w:r>
    </w:p>
  </w:footnote>
  <w:footnote w:id="8">
    <w:p w14:paraId="06AF273D" w14:textId="73EF0A98" w:rsidR="00C55747" w:rsidRPr="00BC5F1F" w:rsidRDefault="00C55747">
      <w:pPr>
        <w:pStyle w:val="FootnoteText"/>
        <w:rPr>
          <w:sz w:val="16"/>
          <w:szCs w:val="16"/>
          <w:lang w:val="en-US"/>
        </w:rPr>
      </w:pPr>
      <w:r w:rsidRPr="00BC5F1F">
        <w:rPr>
          <w:rStyle w:val="FootnoteReference"/>
          <w:sz w:val="16"/>
          <w:szCs w:val="16"/>
        </w:rPr>
        <w:footnoteRef/>
      </w:r>
      <w:r w:rsidRPr="00BC5F1F">
        <w:rPr>
          <w:sz w:val="16"/>
          <w:szCs w:val="16"/>
        </w:rPr>
        <w:t xml:space="preserve"> </w:t>
      </w:r>
      <w:r w:rsidRPr="00BC5F1F">
        <w:rPr>
          <w:sz w:val="16"/>
          <w:szCs w:val="16"/>
          <w:lang w:val="en-US"/>
        </w:rPr>
        <w:t xml:space="preserve">Australian Bureau of Statistics, 2018. </w:t>
      </w:r>
      <w:r w:rsidRPr="00BC5F1F">
        <w:rPr>
          <w:i/>
          <w:iCs/>
          <w:sz w:val="16"/>
          <w:szCs w:val="16"/>
          <w:lang w:val="en-US"/>
        </w:rPr>
        <w:t xml:space="preserve">Intentional self-harm in Aboriginal and Torres Strait Islander people 3303.0 - Causes of Death Australia. </w:t>
      </w:r>
      <w:r w:rsidRPr="00BC5F1F">
        <w:rPr>
          <w:sz w:val="16"/>
          <w:szCs w:val="16"/>
          <w:lang w:val="en-US"/>
        </w:rPr>
        <w:t xml:space="preserve">[Online] </w:t>
      </w:r>
      <w:r w:rsidRPr="00BC5F1F">
        <w:rPr>
          <w:sz w:val="16"/>
          <w:szCs w:val="16"/>
          <w:lang w:val="en-US"/>
        </w:rPr>
        <w:br/>
        <w:t xml:space="preserve">Available at: </w:t>
      </w:r>
      <w:hyperlink r:id="rId2" w:history="1">
        <w:r w:rsidR="00BA3096" w:rsidRPr="00BC5F1F">
          <w:rPr>
            <w:rStyle w:val="Hyperlink"/>
            <w:sz w:val="16"/>
            <w:szCs w:val="16"/>
            <w:lang w:val="en-US"/>
          </w:rPr>
          <w:t>https://www.abs.gov.au/ausstats/abs@.nsf/Lookup/by%20Subject/3303.0~2018~Main%20Features~Intentional%20self-harm%20in%20Aboriginal%20and%20Torres%20Strait%20Islander%20people~4</w:t>
        </w:r>
      </w:hyperlink>
      <w:r w:rsidR="00BA3096" w:rsidRPr="00BC5F1F">
        <w:rPr>
          <w:sz w:val="16"/>
          <w:szCs w:val="16"/>
          <w:lang w:val="en-US"/>
        </w:rPr>
        <w:t xml:space="preserve"> </w:t>
      </w:r>
      <w:r w:rsidRPr="00BC5F1F">
        <w:rPr>
          <w:sz w:val="16"/>
          <w:szCs w:val="16"/>
          <w:lang w:val="en-US"/>
        </w:rPr>
        <w:t>[Accessed 6 February 2020].</w:t>
      </w:r>
    </w:p>
  </w:footnote>
  <w:footnote w:id="9">
    <w:p w14:paraId="6A40410E" w14:textId="75874919" w:rsidR="00C55747" w:rsidRPr="00BC5F1F" w:rsidRDefault="00C55747">
      <w:pPr>
        <w:pStyle w:val="FootnoteText"/>
        <w:rPr>
          <w:sz w:val="16"/>
          <w:szCs w:val="16"/>
          <w:lang w:val="en-US"/>
        </w:rPr>
      </w:pPr>
      <w:r w:rsidRPr="00BC5F1F">
        <w:rPr>
          <w:rStyle w:val="FootnoteReference"/>
          <w:sz w:val="16"/>
          <w:szCs w:val="16"/>
        </w:rPr>
        <w:footnoteRef/>
      </w:r>
      <w:r w:rsidRPr="00BC5F1F">
        <w:rPr>
          <w:sz w:val="16"/>
          <w:szCs w:val="16"/>
        </w:rPr>
        <w:t xml:space="preserve"> </w:t>
      </w:r>
      <w:r w:rsidRPr="00BC5F1F">
        <w:rPr>
          <w:sz w:val="16"/>
          <w:szCs w:val="16"/>
          <w:lang w:val="en-US"/>
        </w:rPr>
        <w:t xml:space="preserve">National LGBTI Health Alliance, 2019. </w:t>
      </w:r>
      <w:r w:rsidRPr="00BC5F1F">
        <w:rPr>
          <w:i/>
          <w:iCs/>
          <w:sz w:val="16"/>
          <w:szCs w:val="16"/>
          <w:lang w:val="en-US"/>
        </w:rPr>
        <w:t xml:space="preserve">The Statistics at a glance: The mental health of lesbian, gay, bisexual, transgender and intersex people in Australia. </w:t>
      </w:r>
      <w:r w:rsidR="00BA3096" w:rsidRPr="00BC5F1F">
        <w:rPr>
          <w:sz w:val="16"/>
          <w:szCs w:val="16"/>
          <w:lang w:val="en-US"/>
        </w:rPr>
        <w:t xml:space="preserve">[Online] </w:t>
      </w:r>
      <w:r w:rsidRPr="00BC5F1F">
        <w:rPr>
          <w:sz w:val="16"/>
          <w:szCs w:val="16"/>
          <w:lang w:val="en-US"/>
        </w:rPr>
        <w:t xml:space="preserve">Available at: </w:t>
      </w:r>
      <w:r w:rsidRPr="00BC5F1F">
        <w:rPr>
          <w:sz w:val="16"/>
          <w:szCs w:val="16"/>
          <w:u w:val="single"/>
          <w:lang w:val="en-US"/>
        </w:rPr>
        <w:t>https://lgbtihealth.org.au/statistics/#_edn5</w:t>
      </w:r>
      <w:r w:rsidRPr="00BC5F1F">
        <w:rPr>
          <w:sz w:val="16"/>
          <w:szCs w:val="16"/>
          <w:lang w:val="en-US"/>
        </w:rPr>
        <w:br/>
        <w:t>[Accessed 6 February 2020].</w:t>
      </w:r>
    </w:p>
  </w:footnote>
  <w:footnote w:id="10">
    <w:p w14:paraId="21569A53" w14:textId="7A4F5B0D" w:rsidR="00BA3096" w:rsidRPr="00BC5F1F" w:rsidRDefault="00BA3096">
      <w:pPr>
        <w:pStyle w:val="FootnoteText"/>
        <w:rPr>
          <w:sz w:val="16"/>
          <w:szCs w:val="16"/>
        </w:rPr>
      </w:pPr>
      <w:r w:rsidRPr="00BC5F1F">
        <w:rPr>
          <w:rStyle w:val="FootnoteReference"/>
          <w:sz w:val="16"/>
          <w:szCs w:val="16"/>
        </w:rPr>
        <w:footnoteRef/>
      </w:r>
      <w:r w:rsidRPr="00BC5F1F">
        <w:rPr>
          <w:sz w:val="16"/>
          <w:szCs w:val="16"/>
        </w:rPr>
        <w:t xml:space="preserve"> Australian Institute of Health and Welfare, 2019. </w:t>
      </w:r>
      <w:r w:rsidRPr="00BC5F1F">
        <w:rPr>
          <w:i/>
          <w:sz w:val="16"/>
          <w:szCs w:val="16"/>
        </w:rPr>
        <w:t>National suicide monitoring of serving and ex-serving Australian Defence Force personnel: 2019 update</w:t>
      </w:r>
      <w:r w:rsidRPr="00BC5F1F">
        <w:rPr>
          <w:sz w:val="16"/>
          <w:szCs w:val="16"/>
        </w:rPr>
        <w:t xml:space="preserve">. [Online] Available at: </w:t>
      </w:r>
      <w:hyperlink r:id="rId3" w:history="1">
        <w:r w:rsidRPr="00BC5F1F">
          <w:rPr>
            <w:rStyle w:val="Hyperlink"/>
            <w:sz w:val="16"/>
            <w:szCs w:val="16"/>
          </w:rPr>
          <w:t>https://www.aihw.gov.au/getmedia/99c20935-ac59-4a78-88d7-e37b6cd3b969/aihw-phe-222.pdf.aspx?inline=true</w:t>
        </w:r>
      </w:hyperlink>
      <w:r w:rsidRPr="00BC5F1F">
        <w:rPr>
          <w:sz w:val="16"/>
          <w:szCs w:val="16"/>
        </w:rPr>
        <w:t xml:space="preserve"> [Accessed 6 February 2020].</w:t>
      </w:r>
    </w:p>
  </w:footnote>
  <w:footnote w:id="11">
    <w:p w14:paraId="3B26D292" w14:textId="7FFB8B85" w:rsidR="00B765EF" w:rsidRPr="00B765EF" w:rsidRDefault="00B765EF">
      <w:pPr>
        <w:pStyle w:val="FootnoteText"/>
      </w:pPr>
      <w:r w:rsidRPr="00BC5F1F">
        <w:rPr>
          <w:rStyle w:val="FootnoteReference"/>
          <w:sz w:val="16"/>
          <w:szCs w:val="16"/>
        </w:rPr>
        <w:footnoteRef/>
      </w:r>
      <w:r w:rsidRPr="00BC5F1F">
        <w:rPr>
          <w:sz w:val="16"/>
          <w:szCs w:val="16"/>
        </w:rPr>
        <w:t xml:space="preserve"> Australian Bureau of Statistics, 2018. </w:t>
      </w:r>
      <w:r w:rsidRPr="00BC5F1F">
        <w:rPr>
          <w:i/>
          <w:sz w:val="16"/>
          <w:szCs w:val="16"/>
        </w:rPr>
        <w:t>Causes of Death, Australia 3303.0</w:t>
      </w:r>
      <w:r w:rsidRPr="00BC5F1F">
        <w:rPr>
          <w:sz w:val="16"/>
          <w:szCs w:val="16"/>
        </w:rPr>
        <w:t xml:space="preserve">. [Online] Available at: </w:t>
      </w:r>
      <w:hyperlink r:id="rId4" w:history="1">
        <w:r w:rsidRPr="00BC5F1F">
          <w:rPr>
            <w:rStyle w:val="Hyperlink"/>
            <w:sz w:val="16"/>
            <w:szCs w:val="16"/>
          </w:rPr>
          <w:t>https://www.abs.gov.au/ausstats/abs@.nsf/Lookup/by%20Subject/3303.0~2017~Main%20Features~Intentional%20self-harm,%20key%20characteristics~3</w:t>
        </w:r>
      </w:hyperlink>
      <w:r w:rsidRPr="00BC5F1F">
        <w:rPr>
          <w:sz w:val="16"/>
          <w:szCs w:val="16"/>
        </w:rPr>
        <w:t xml:space="preserve"> [Accessed 6 February 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14:paraId="34C87B2A" w14:textId="53316841" w:rsidR="00D0652D" w:rsidRDefault="00D0652D">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C5F1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C5F1F">
          <w:rPr>
            <w:b/>
            <w:bCs/>
            <w:noProof/>
          </w:rPr>
          <w:t>3</w:t>
        </w:r>
        <w:r>
          <w:rPr>
            <w:b/>
            <w:bCs/>
            <w:sz w:val="24"/>
            <w:szCs w:val="24"/>
          </w:rPr>
          <w:fldChar w:fldCharType="end"/>
        </w:r>
      </w:p>
    </w:sdtContent>
  </w:sdt>
  <w:sdt>
    <w:sdtPr>
      <w:id w:val="1295709485"/>
      <w:docPartObj>
        <w:docPartGallery w:val="Watermarks"/>
        <w:docPartUnique/>
      </w:docPartObj>
    </w:sdtPr>
    <w:sdtEndPr/>
    <w:sdtContent>
      <w:p w14:paraId="570C0A38" w14:textId="4B92E7D3" w:rsidR="00D0652D" w:rsidRDefault="00BC5F1F">
        <w:pPr>
          <w:pStyle w:val="Header"/>
        </w:pPr>
        <w:r>
          <w:rPr>
            <w:noProof/>
            <w:lang w:val="en-US"/>
          </w:rPr>
          <w:pict w14:anchorId="3BFC7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32F9B"/>
    <w:multiLevelType w:val="hybridMultilevel"/>
    <w:tmpl w:val="E668B102"/>
    <w:lvl w:ilvl="0" w:tplc="B21A1916">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217AD2"/>
    <w:multiLevelType w:val="hybridMultilevel"/>
    <w:tmpl w:val="90521548"/>
    <w:lvl w:ilvl="0" w:tplc="E40A06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AB3217"/>
    <w:multiLevelType w:val="hybridMultilevel"/>
    <w:tmpl w:val="14A68E3E"/>
    <w:lvl w:ilvl="0" w:tplc="765C28B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A24250F"/>
    <w:multiLevelType w:val="hybridMultilevel"/>
    <w:tmpl w:val="BA4EB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F5758B"/>
    <w:multiLevelType w:val="hybridMultilevel"/>
    <w:tmpl w:val="C44C5120"/>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5" w15:restartNumberingAfterBreak="0">
    <w:nsid w:val="4B32072E"/>
    <w:multiLevelType w:val="hybridMultilevel"/>
    <w:tmpl w:val="53C2B4DA"/>
    <w:lvl w:ilvl="0" w:tplc="68C00752">
      <w:start w:val="201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A932F7"/>
    <w:multiLevelType w:val="hybridMultilevel"/>
    <w:tmpl w:val="FBDCEA2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75633EF"/>
    <w:multiLevelType w:val="hybridMultilevel"/>
    <w:tmpl w:val="18DE8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E3B4988"/>
    <w:multiLevelType w:val="hybridMultilevel"/>
    <w:tmpl w:val="4080E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9B100FC"/>
    <w:multiLevelType w:val="hybridMultilevel"/>
    <w:tmpl w:val="D3B2FE40"/>
    <w:lvl w:ilvl="0" w:tplc="EE7E059E">
      <w:start w:val="6"/>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F06770"/>
    <w:multiLevelType w:val="hybridMultilevel"/>
    <w:tmpl w:val="E502FF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0"/>
  </w:num>
  <w:num w:numId="3">
    <w:abstractNumId w:val="7"/>
  </w:num>
  <w:num w:numId="4">
    <w:abstractNumId w:val="1"/>
  </w:num>
  <w:num w:numId="5">
    <w:abstractNumId w:val="3"/>
  </w:num>
  <w:num w:numId="6">
    <w:abstractNumId w:val="8"/>
  </w:num>
  <w:num w:numId="7">
    <w:abstractNumId w:val="0"/>
  </w:num>
  <w:num w:numId="8">
    <w:abstractNumId w:val="9"/>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9B"/>
    <w:rsid w:val="00005120"/>
    <w:rsid w:val="000108C8"/>
    <w:rsid w:val="00042922"/>
    <w:rsid w:val="00043541"/>
    <w:rsid w:val="000463D5"/>
    <w:rsid w:val="00055A07"/>
    <w:rsid w:val="00067BDD"/>
    <w:rsid w:val="000A3506"/>
    <w:rsid w:val="000A6435"/>
    <w:rsid w:val="000B0A6C"/>
    <w:rsid w:val="000C3471"/>
    <w:rsid w:val="000D155B"/>
    <w:rsid w:val="000F36F7"/>
    <w:rsid w:val="000F6695"/>
    <w:rsid w:val="00103D52"/>
    <w:rsid w:val="00104EA4"/>
    <w:rsid w:val="00107958"/>
    <w:rsid w:val="00117952"/>
    <w:rsid w:val="00137E14"/>
    <w:rsid w:val="001467AB"/>
    <w:rsid w:val="0017056A"/>
    <w:rsid w:val="001720AF"/>
    <w:rsid w:val="001A269C"/>
    <w:rsid w:val="001D5E40"/>
    <w:rsid w:val="00205A20"/>
    <w:rsid w:val="002157A0"/>
    <w:rsid w:val="00231657"/>
    <w:rsid w:val="00235430"/>
    <w:rsid w:val="002458B7"/>
    <w:rsid w:val="0024612F"/>
    <w:rsid w:val="00251C64"/>
    <w:rsid w:val="00256C71"/>
    <w:rsid w:val="00262348"/>
    <w:rsid w:val="002A5A41"/>
    <w:rsid w:val="002C001E"/>
    <w:rsid w:val="002C3172"/>
    <w:rsid w:val="002C3C89"/>
    <w:rsid w:val="002C4C3E"/>
    <w:rsid w:val="002D6360"/>
    <w:rsid w:val="002F68FA"/>
    <w:rsid w:val="0030717D"/>
    <w:rsid w:val="00324E46"/>
    <w:rsid w:val="003271A7"/>
    <w:rsid w:val="00333670"/>
    <w:rsid w:val="00355817"/>
    <w:rsid w:val="0036425D"/>
    <w:rsid w:val="00373D8F"/>
    <w:rsid w:val="003C655B"/>
    <w:rsid w:val="003D2D2E"/>
    <w:rsid w:val="003D42B6"/>
    <w:rsid w:val="003D47BA"/>
    <w:rsid w:val="003D74C8"/>
    <w:rsid w:val="003E3016"/>
    <w:rsid w:val="003E4CDA"/>
    <w:rsid w:val="003E5FC4"/>
    <w:rsid w:val="003E625E"/>
    <w:rsid w:val="00414F88"/>
    <w:rsid w:val="00425320"/>
    <w:rsid w:val="004364CE"/>
    <w:rsid w:val="0044157C"/>
    <w:rsid w:val="00447503"/>
    <w:rsid w:val="004558B6"/>
    <w:rsid w:val="00456BD2"/>
    <w:rsid w:val="0046473F"/>
    <w:rsid w:val="00472A12"/>
    <w:rsid w:val="004900C5"/>
    <w:rsid w:val="0049348B"/>
    <w:rsid w:val="004B171A"/>
    <w:rsid w:val="004B1F60"/>
    <w:rsid w:val="004B3A9F"/>
    <w:rsid w:val="004C0E3D"/>
    <w:rsid w:val="004D104E"/>
    <w:rsid w:val="004E30EA"/>
    <w:rsid w:val="004F33CB"/>
    <w:rsid w:val="004F4550"/>
    <w:rsid w:val="004F5506"/>
    <w:rsid w:val="00500E96"/>
    <w:rsid w:val="00544194"/>
    <w:rsid w:val="0054712F"/>
    <w:rsid w:val="0054741C"/>
    <w:rsid w:val="005506B9"/>
    <w:rsid w:val="00557BBC"/>
    <w:rsid w:val="0056391F"/>
    <w:rsid w:val="00567120"/>
    <w:rsid w:val="00581A96"/>
    <w:rsid w:val="0058485B"/>
    <w:rsid w:val="005923A5"/>
    <w:rsid w:val="005A0037"/>
    <w:rsid w:val="005A761E"/>
    <w:rsid w:val="005A7BD1"/>
    <w:rsid w:val="005B7DAF"/>
    <w:rsid w:val="005D1DD9"/>
    <w:rsid w:val="005D7BBC"/>
    <w:rsid w:val="005F45B5"/>
    <w:rsid w:val="00606E29"/>
    <w:rsid w:val="006263E1"/>
    <w:rsid w:val="00645A8D"/>
    <w:rsid w:val="00654879"/>
    <w:rsid w:val="00655101"/>
    <w:rsid w:val="00665274"/>
    <w:rsid w:val="006679F1"/>
    <w:rsid w:val="006A64C6"/>
    <w:rsid w:val="006C6A5C"/>
    <w:rsid w:val="006E5FAF"/>
    <w:rsid w:val="007019E3"/>
    <w:rsid w:val="00722549"/>
    <w:rsid w:val="0073544E"/>
    <w:rsid w:val="00775510"/>
    <w:rsid w:val="00776142"/>
    <w:rsid w:val="00782A21"/>
    <w:rsid w:val="007A57DF"/>
    <w:rsid w:val="007A581E"/>
    <w:rsid w:val="007B0275"/>
    <w:rsid w:val="007B12CD"/>
    <w:rsid w:val="007B6403"/>
    <w:rsid w:val="007C06E6"/>
    <w:rsid w:val="007C1192"/>
    <w:rsid w:val="007C18C7"/>
    <w:rsid w:val="007C5A0B"/>
    <w:rsid w:val="007C6EF3"/>
    <w:rsid w:val="007D5017"/>
    <w:rsid w:val="008230D3"/>
    <w:rsid w:val="008308C3"/>
    <w:rsid w:val="008372E4"/>
    <w:rsid w:val="008401E3"/>
    <w:rsid w:val="00847C53"/>
    <w:rsid w:val="00855196"/>
    <w:rsid w:val="00863403"/>
    <w:rsid w:val="008A6529"/>
    <w:rsid w:val="008A79C5"/>
    <w:rsid w:val="008B4546"/>
    <w:rsid w:val="008C43C1"/>
    <w:rsid w:val="008F0A1E"/>
    <w:rsid w:val="008F4417"/>
    <w:rsid w:val="008F6E3F"/>
    <w:rsid w:val="009018A3"/>
    <w:rsid w:val="009362AD"/>
    <w:rsid w:val="009553B5"/>
    <w:rsid w:val="00962591"/>
    <w:rsid w:val="009667D7"/>
    <w:rsid w:val="009858A4"/>
    <w:rsid w:val="009862DF"/>
    <w:rsid w:val="009911ED"/>
    <w:rsid w:val="009A7D2B"/>
    <w:rsid w:val="009B3F83"/>
    <w:rsid w:val="009C0B88"/>
    <w:rsid w:val="009C2BE7"/>
    <w:rsid w:val="009C2DEB"/>
    <w:rsid w:val="009C491E"/>
    <w:rsid w:val="009E40B6"/>
    <w:rsid w:val="00A033DE"/>
    <w:rsid w:val="00A06C6C"/>
    <w:rsid w:val="00A2029B"/>
    <w:rsid w:val="00A21B22"/>
    <w:rsid w:val="00A270CE"/>
    <w:rsid w:val="00A4235C"/>
    <w:rsid w:val="00A463FE"/>
    <w:rsid w:val="00A52BB1"/>
    <w:rsid w:val="00A70EF8"/>
    <w:rsid w:val="00A8159B"/>
    <w:rsid w:val="00AA0B9E"/>
    <w:rsid w:val="00AB3088"/>
    <w:rsid w:val="00AC4064"/>
    <w:rsid w:val="00AD3A83"/>
    <w:rsid w:val="00AD5A4E"/>
    <w:rsid w:val="00AE65B3"/>
    <w:rsid w:val="00AF47E4"/>
    <w:rsid w:val="00B0537D"/>
    <w:rsid w:val="00B05812"/>
    <w:rsid w:val="00B06276"/>
    <w:rsid w:val="00B140B4"/>
    <w:rsid w:val="00B15A1E"/>
    <w:rsid w:val="00B15F57"/>
    <w:rsid w:val="00B20A35"/>
    <w:rsid w:val="00B4014A"/>
    <w:rsid w:val="00B413CF"/>
    <w:rsid w:val="00B46B58"/>
    <w:rsid w:val="00B56B6F"/>
    <w:rsid w:val="00B73BF3"/>
    <w:rsid w:val="00B74474"/>
    <w:rsid w:val="00B765EF"/>
    <w:rsid w:val="00B81898"/>
    <w:rsid w:val="00B91178"/>
    <w:rsid w:val="00BA3096"/>
    <w:rsid w:val="00BB3F15"/>
    <w:rsid w:val="00BC5F1F"/>
    <w:rsid w:val="00BE27C3"/>
    <w:rsid w:val="00BE2B6A"/>
    <w:rsid w:val="00BE2C76"/>
    <w:rsid w:val="00BF3603"/>
    <w:rsid w:val="00C00F37"/>
    <w:rsid w:val="00C05BEC"/>
    <w:rsid w:val="00C23010"/>
    <w:rsid w:val="00C340CF"/>
    <w:rsid w:val="00C433D5"/>
    <w:rsid w:val="00C47FCF"/>
    <w:rsid w:val="00C524A1"/>
    <w:rsid w:val="00C55747"/>
    <w:rsid w:val="00C56397"/>
    <w:rsid w:val="00C6021C"/>
    <w:rsid w:val="00C652A7"/>
    <w:rsid w:val="00C8032C"/>
    <w:rsid w:val="00C8227D"/>
    <w:rsid w:val="00C82F1F"/>
    <w:rsid w:val="00C83A54"/>
    <w:rsid w:val="00C97993"/>
    <w:rsid w:val="00CB49F1"/>
    <w:rsid w:val="00CB6D06"/>
    <w:rsid w:val="00CC5DBB"/>
    <w:rsid w:val="00CD100A"/>
    <w:rsid w:val="00CD2E50"/>
    <w:rsid w:val="00CD3591"/>
    <w:rsid w:val="00CF6528"/>
    <w:rsid w:val="00D030B6"/>
    <w:rsid w:val="00D0652D"/>
    <w:rsid w:val="00D232A6"/>
    <w:rsid w:val="00D3767E"/>
    <w:rsid w:val="00D65244"/>
    <w:rsid w:val="00D718DE"/>
    <w:rsid w:val="00D928E9"/>
    <w:rsid w:val="00D93477"/>
    <w:rsid w:val="00D95031"/>
    <w:rsid w:val="00DA30B1"/>
    <w:rsid w:val="00DC4FFC"/>
    <w:rsid w:val="00DE163F"/>
    <w:rsid w:val="00DE3745"/>
    <w:rsid w:val="00DE4E31"/>
    <w:rsid w:val="00E00196"/>
    <w:rsid w:val="00E116E1"/>
    <w:rsid w:val="00E20250"/>
    <w:rsid w:val="00E35B19"/>
    <w:rsid w:val="00E37E67"/>
    <w:rsid w:val="00E42586"/>
    <w:rsid w:val="00E521FA"/>
    <w:rsid w:val="00E81D27"/>
    <w:rsid w:val="00E8629A"/>
    <w:rsid w:val="00E90591"/>
    <w:rsid w:val="00E91FD7"/>
    <w:rsid w:val="00EB5E69"/>
    <w:rsid w:val="00EB6845"/>
    <w:rsid w:val="00ED14E6"/>
    <w:rsid w:val="00ED33A5"/>
    <w:rsid w:val="00ED6C87"/>
    <w:rsid w:val="00ED70A7"/>
    <w:rsid w:val="00EE1DDF"/>
    <w:rsid w:val="00EF0A13"/>
    <w:rsid w:val="00F027B6"/>
    <w:rsid w:val="00F20D61"/>
    <w:rsid w:val="00F23AD1"/>
    <w:rsid w:val="00F42DAB"/>
    <w:rsid w:val="00F467D9"/>
    <w:rsid w:val="00F559A2"/>
    <w:rsid w:val="00F70765"/>
    <w:rsid w:val="00F72104"/>
    <w:rsid w:val="00F83DB3"/>
    <w:rsid w:val="00F855D2"/>
    <w:rsid w:val="00F87B5C"/>
    <w:rsid w:val="00FA3C8D"/>
    <w:rsid w:val="00FC3D01"/>
    <w:rsid w:val="00FC6C1D"/>
    <w:rsid w:val="00FD065F"/>
    <w:rsid w:val="00FE05DE"/>
    <w:rsid w:val="00FE4EB1"/>
    <w:rsid w:val="00FE638E"/>
    <w:rsid w:val="00FF63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C089F3D"/>
  <w15:chartTrackingRefBased/>
  <w15:docId w15:val="{705BF246-71D9-46FD-B783-3150FFAB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0B6"/>
  </w:style>
  <w:style w:type="paragraph" w:styleId="Heading1">
    <w:name w:val="heading 1"/>
    <w:basedOn w:val="Normal"/>
    <w:next w:val="Normal"/>
    <w:link w:val="Heading1Char"/>
    <w:uiPriority w:val="9"/>
    <w:qFormat/>
    <w:rsid w:val="009E40B6"/>
    <w:pPr>
      <w:pBdr>
        <w:top w:val="single" w:sz="24" w:space="0" w:color="C6E6FA" w:themeColor="accent1" w:themeTint="33"/>
        <w:left w:val="single" w:sz="24" w:space="0" w:color="C6E6FA" w:themeColor="accent1" w:themeTint="33"/>
        <w:bottom w:val="single" w:sz="24" w:space="0" w:color="C6E6FA" w:themeColor="accent1" w:themeTint="33"/>
        <w:right w:val="single" w:sz="24" w:space="0" w:color="C6E6FA" w:themeColor="accent1" w:themeTint="33"/>
      </w:pBdr>
      <w:shd w:val="clear" w:color="auto" w:fill="C6E6FA" w:themeFill="accent1" w:themeFillTint="33"/>
      <w:spacing w:after="0"/>
      <w:outlineLvl w:val="0"/>
    </w:pPr>
    <w:rPr>
      <w:b/>
      <w:caps/>
      <w:color w:val="000000" w:themeColor="text1"/>
      <w:spacing w:val="15"/>
      <w:sz w:val="22"/>
      <w:szCs w:val="22"/>
    </w:rPr>
  </w:style>
  <w:style w:type="paragraph" w:styleId="Heading2">
    <w:name w:val="heading 2"/>
    <w:basedOn w:val="Normal"/>
    <w:next w:val="Normal"/>
    <w:link w:val="Heading2Char"/>
    <w:uiPriority w:val="9"/>
    <w:unhideWhenUsed/>
    <w:qFormat/>
    <w:rsid w:val="009E40B6"/>
    <w:pPr>
      <w:spacing w:after="0"/>
      <w:outlineLvl w:val="1"/>
    </w:pPr>
    <w:rPr>
      <w:b/>
      <w:spacing w:val="15"/>
    </w:rPr>
  </w:style>
  <w:style w:type="paragraph" w:styleId="Heading3">
    <w:name w:val="heading 3"/>
    <w:basedOn w:val="Normal"/>
    <w:next w:val="Normal"/>
    <w:link w:val="Heading3Char"/>
    <w:uiPriority w:val="9"/>
    <w:unhideWhenUsed/>
    <w:qFormat/>
    <w:rsid w:val="006E5FAF"/>
    <w:pPr>
      <w:outlineLvl w:val="2"/>
    </w:pPr>
    <w:rPr>
      <w:i/>
    </w:rPr>
  </w:style>
  <w:style w:type="paragraph" w:styleId="Heading4">
    <w:name w:val="heading 4"/>
    <w:aliases w:val="Bullets level 2"/>
    <w:basedOn w:val="Normal"/>
    <w:next w:val="Normal"/>
    <w:link w:val="Heading4Char"/>
    <w:uiPriority w:val="9"/>
    <w:unhideWhenUsed/>
    <w:qFormat/>
    <w:rsid w:val="009E40B6"/>
    <w:pPr>
      <w:pBdr>
        <w:top w:val="dotted" w:sz="6" w:space="2" w:color="0F7ABF" w:themeColor="accent1"/>
      </w:pBdr>
      <w:spacing w:before="200" w:after="0"/>
      <w:outlineLvl w:val="3"/>
    </w:pPr>
    <w:rPr>
      <w:caps/>
      <w:color w:val="0B5B8E" w:themeColor="accent1" w:themeShade="BF"/>
      <w:spacing w:val="10"/>
    </w:rPr>
  </w:style>
  <w:style w:type="paragraph" w:styleId="Heading5">
    <w:name w:val="heading 5"/>
    <w:basedOn w:val="Normal"/>
    <w:next w:val="Normal"/>
    <w:link w:val="Heading5Char"/>
    <w:uiPriority w:val="9"/>
    <w:semiHidden/>
    <w:unhideWhenUsed/>
    <w:qFormat/>
    <w:rsid w:val="009E40B6"/>
    <w:pPr>
      <w:pBdr>
        <w:bottom w:val="single" w:sz="6" w:space="1" w:color="0F7ABF" w:themeColor="accent1"/>
      </w:pBdr>
      <w:spacing w:before="200" w:after="0"/>
      <w:outlineLvl w:val="4"/>
    </w:pPr>
    <w:rPr>
      <w:caps/>
      <w:color w:val="0B5B8E" w:themeColor="accent1" w:themeShade="BF"/>
      <w:spacing w:val="10"/>
    </w:rPr>
  </w:style>
  <w:style w:type="paragraph" w:styleId="Heading6">
    <w:name w:val="heading 6"/>
    <w:basedOn w:val="Normal"/>
    <w:next w:val="Normal"/>
    <w:link w:val="Heading6Char"/>
    <w:uiPriority w:val="9"/>
    <w:semiHidden/>
    <w:unhideWhenUsed/>
    <w:qFormat/>
    <w:rsid w:val="009E40B6"/>
    <w:pPr>
      <w:pBdr>
        <w:bottom w:val="dotted" w:sz="6" w:space="1" w:color="0F7ABF" w:themeColor="accent1"/>
      </w:pBdr>
      <w:spacing w:before="200" w:after="0"/>
      <w:outlineLvl w:val="5"/>
    </w:pPr>
    <w:rPr>
      <w:caps/>
      <w:color w:val="0B5B8E" w:themeColor="accent1" w:themeShade="BF"/>
      <w:spacing w:val="10"/>
    </w:rPr>
  </w:style>
  <w:style w:type="paragraph" w:styleId="Heading7">
    <w:name w:val="heading 7"/>
    <w:basedOn w:val="Normal"/>
    <w:next w:val="Normal"/>
    <w:link w:val="Heading7Char"/>
    <w:uiPriority w:val="9"/>
    <w:semiHidden/>
    <w:unhideWhenUsed/>
    <w:qFormat/>
    <w:rsid w:val="009E40B6"/>
    <w:pPr>
      <w:spacing w:before="200" w:after="0"/>
      <w:outlineLvl w:val="6"/>
    </w:pPr>
    <w:rPr>
      <w:caps/>
      <w:color w:val="0B5B8E" w:themeColor="accent1" w:themeShade="BF"/>
      <w:spacing w:val="10"/>
    </w:rPr>
  </w:style>
  <w:style w:type="paragraph" w:styleId="Heading8">
    <w:name w:val="heading 8"/>
    <w:basedOn w:val="Normal"/>
    <w:next w:val="Normal"/>
    <w:link w:val="Heading8Char"/>
    <w:uiPriority w:val="9"/>
    <w:semiHidden/>
    <w:unhideWhenUsed/>
    <w:qFormat/>
    <w:rsid w:val="009E40B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E40B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59B"/>
    <w:pPr>
      <w:ind w:left="720"/>
      <w:contextualSpacing/>
    </w:pPr>
  </w:style>
  <w:style w:type="paragraph" w:styleId="Header">
    <w:name w:val="header"/>
    <w:basedOn w:val="Normal"/>
    <w:link w:val="HeaderChar"/>
    <w:uiPriority w:val="99"/>
    <w:unhideWhenUsed/>
    <w:rsid w:val="00A815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59B"/>
  </w:style>
  <w:style w:type="paragraph" w:styleId="Footer">
    <w:name w:val="footer"/>
    <w:basedOn w:val="Normal"/>
    <w:link w:val="FooterChar"/>
    <w:uiPriority w:val="99"/>
    <w:unhideWhenUsed/>
    <w:rsid w:val="00A81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59B"/>
  </w:style>
  <w:style w:type="character" w:customStyle="1" w:styleId="Heading1Char">
    <w:name w:val="Heading 1 Char"/>
    <w:basedOn w:val="DefaultParagraphFont"/>
    <w:link w:val="Heading1"/>
    <w:uiPriority w:val="9"/>
    <w:rsid w:val="009E40B6"/>
    <w:rPr>
      <w:b/>
      <w:caps/>
      <w:color w:val="000000" w:themeColor="text1"/>
      <w:spacing w:val="15"/>
      <w:sz w:val="22"/>
      <w:szCs w:val="22"/>
      <w:shd w:val="clear" w:color="auto" w:fill="C6E6FA" w:themeFill="accent1" w:themeFillTint="33"/>
    </w:rPr>
  </w:style>
  <w:style w:type="character" w:customStyle="1" w:styleId="Heading2Char">
    <w:name w:val="Heading 2 Char"/>
    <w:basedOn w:val="DefaultParagraphFont"/>
    <w:link w:val="Heading2"/>
    <w:uiPriority w:val="9"/>
    <w:rsid w:val="009E40B6"/>
    <w:rPr>
      <w:b/>
      <w:spacing w:val="15"/>
    </w:rPr>
  </w:style>
  <w:style w:type="character" w:customStyle="1" w:styleId="Heading3Char">
    <w:name w:val="Heading 3 Char"/>
    <w:basedOn w:val="DefaultParagraphFont"/>
    <w:link w:val="Heading3"/>
    <w:uiPriority w:val="9"/>
    <w:rsid w:val="006E5FAF"/>
    <w:rPr>
      <w:i/>
    </w:rPr>
  </w:style>
  <w:style w:type="character" w:customStyle="1" w:styleId="Heading4Char">
    <w:name w:val="Heading 4 Char"/>
    <w:aliases w:val="Bullets level 2 Char"/>
    <w:basedOn w:val="DefaultParagraphFont"/>
    <w:link w:val="Heading4"/>
    <w:uiPriority w:val="9"/>
    <w:semiHidden/>
    <w:rsid w:val="009E40B6"/>
    <w:rPr>
      <w:caps/>
      <w:color w:val="0B5B8E" w:themeColor="accent1" w:themeShade="BF"/>
      <w:spacing w:val="10"/>
    </w:rPr>
  </w:style>
  <w:style w:type="character" w:customStyle="1" w:styleId="Heading5Char">
    <w:name w:val="Heading 5 Char"/>
    <w:basedOn w:val="DefaultParagraphFont"/>
    <w:link w:val="Heading5"/>
    <w:uiPriority w:val="9"/>
    <w:semiHidden/>
    <w:rsid w:val="009E40B6"/>
    <w:rPr>
      <w:caps/>
      <w:color w:val="0B5B8E" w:themeColor="accent1" w:themeShade="BF"/>
      <w:spacing w:val="10"/>
    </w:rPr>
  </w:style>
  <w:style w:type="character" w:customStyle="1" w:styleId="Heading6Char">
    <w:name w:val="Heading 6 Char"/>
    <w:basedOn w:val="DefaultParagraphFont"/>
    <w:link w:val="Heading6"/>
    <w:uiPriority w:val="9"/>
    <w:semiHidden/>
    <w:rsid w:val="009E40B6"/>
    <w:rPr>
      <w:caps/>
      <w:color w:val="0B5B8E" w:themeColor="accent1" w:themeShade="BF"/>
      <w:spacing w:val="10"/>
    </w:rPr>
  </w:style>
  <w:style w:type="character" w:customStyle="1" w:styleId="Heading7Char">
    <w:name w:val="Heading 7 Char"/>
    <w:basedOn w:val="DefaultParagraphFont"/>
    <w:link w:val="Heading7"/>
    <w:uiPriority w:val="9"/>
    <w:semiHidden/>
    <w:rsid w:val="009E40B6"/>
    <w:rPr>
      <w:caps/>
      <w:color w:val="0B5B8E" w:themeColor="accent1" w:themeShade="BF"/>
      <w:spacing w:val="10"/>
    </w:rPr>
  </w:style>
  <w:style w:type="character" w:customStyle="1" w:styleId="Heading8Char">
    <w:name w:val="Heading 8 Char"/>
    <w:basedOn w:val="DefaultParagraphFont"/>
    <w:link w:val="Heading8"/>
    <w:uiPriority w:val="9"/>
    <w:semiHidden/>
    <w:rsid w:val="009E40B6"/>
    <w:rPr>
      <w:caps/>
      <w:spacing w:val="10"/>
      <w:sz w:val="18"/>
      <w:szCs w:val="18"/>
    </w:rPr>
  </w:style>
  <w:style w:type="character" w:customStyle="1" w:styleId="Heading9Char">
    <w:name w:val="Heading 9 Char"/>
    <w:basedOn w:val="DefaultParagraphFont"/>
    <w:link w:val="Heading9"/>
    <w:uiPriority w:val="9"/>
    <w:semiHidden/>
    <w:rsid w:val="009E40B6"/>
    <w:rPr>
      <w:i/>
      <w:iCs/>
      <w:caps/>
      <w:spacing w:val="10"/>
      <w:sz w:val="18"/>
      <w:szCs w:val="18"/>
    </w:rPr>
  </w:style>
  <w:style w:type="paragraph" w:styleId="Caption">
    <w:name w:val="caption"/>
    <w:basedOn w:val="Normal"/>
    <w:next w:val="Normal"/>
    <w:uiPriority w:val="35"/>
    <w:semiHidden/>
    <w:unhideWhenUsed/>
    <w:qFormat/>
    <w:rsid w:val="009E40B6"/>
    <w:rPr>
      <w:b/>
      <w:bCs/>
      <w:color w:val="0B5B8E" w:themeColor="accent1" w:themeShade="BF"/>
      <w:sz w:val="16"/>
      <w:szCs w:val="16"/>
    </w:rPr>
  </w:style>
  <w:style w:type="paragraph" w:styleId="Title">
    <w:name w:val="Title"/>
    <w:basedOn w:val="Normal"/>
    <w:next w:val="Normal"/>
    <w:link w:val="TitleChar"/>
    <w:uiPriority w:val="10"/>
    <w:qFormat/>
    <w:rsid w:val="009E40B6"/>
    <w:pPr>
      <w:spacing w:before="0" w:after="0"/>
    </w:pPr>
    <w:rPr>
      <w:rFonts w:eastAsiaTheme="majorEastAsia" w:cstheme="minorHAnsi"/>
      <w:b/>
      <w:caps/>
      <w:noProof/>
      <w:color w:val="000000" w:themeColor="text1"/>
      <w:spacing w:val="10"/>
      <w:sz w:val="32"/>
      <w:szCs w:val="32"/>
      <w:lang w:eastAsia="en-AU"/>
    </w:rPr>
  </w:style>
  <w:style w:type="character" w:customStyle="1" w:styleId="TitleChar">
    <w:name w:val="Title Char"/>
    <w:basedOn w:val="DefaultParagraphFont"/>
    <w:link w:val="Title"/>
    <w:uiPriority w:val="10"/>
    <w:rsid w:val="009E40B6"/>
    <w:rPr>
      <w:rFonts w:eastAsiaTheme="majorEastAsia" w:cstheme="minorHAnsi"/>
      <w:b/>
      <w:caps/>
      <w:noProof/>
      <w:color w:val="000000" w:themeColor="text1"/>
      <w:spacing w:val="10"/>
      <w:sz w:val="32"/>
      <w:szCs w:val="32"/>
      <w:lang w:eastAsia="en-AU"/>
    </w:rPr>
  </w:style>
  <w:style w:type="paragraph" w:styleId="Subtitle">
    <w:name w:val="Subtitle"/>
    <w:basedOn w:val="Normal"/>
    <w:next w:val="Normal"/>
    <w:link w:val="SubtitleChar"/>
    <w:uiPriority w:val="11"/>
    <w:qFormat/>
    <w:rsid w:val="009E40B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E40B6"/>
    <w:rPr>
      <w:caps/>
      <w:color w:val="595959" w:themeColor="text1" w:themeTint="A6"/>
      <w:spacing w:val="10"/>
      <w:sz w:val="21"/>
      <w:szCs w:val="21"/>
    </w:rPr>
  </w:style>
  <w:style w:type="character" w:styleId="Strong">
    <w:name w:val="Strong"/>
    <w:uiPriority w:val="22"/>
    <w:qFormat/>
    <w:rsid w:val="009E40B6"/>
    <w:rPr>
      <w:b/>
      <w:bCs/>
    </w:rPr>
  </w:style>
  <w:style w:type="character" w:styleId="Emphasis">
    <w:name w:val="Emphasis"/>
    <w:uiPriority w:val="20"/>
    <w:qFormat/>
    <w:rsid w:val="009E40B6"/>
    <w:rPr>
      <w:caps/>
      <w:color w:val="073C5E" w:themeColor="accent1" w:themeShade="7F"/>
      <w:spacing w:val="5"/>
    </w:rPr>
  </w:style>
  <w:style w:type="paragraph" w:styleId="NoSpacing">
    <w:name w:val="No Spacing"/>
    <w:uiPriority w:val="1"/>
    <w:qFormat/>
    <w:rsid w:val="009E40B6"/>
    <w:pPr>
      <w:spacing w:after="0" w:line="240" w:lineRule="auto"/>
    </w:pPr>
  </w:style>
  <w:style w:type="paragraph" w:styleId="Quote">
    <w:name w:val="Quote"/>
    <w:basedOn w:val="Normal"/>
    <w:next w:val="Normal"/>
    <w:link w:val="QuoteChar"/>
    <w:uiPriority w:val="29"/>
    <w:qFormat/>
    <w:rsid w:val="009E40B6"/>
    <w:rPr>
      <w:i/>
      <w:iCs/>
      <w:sz w:val="24"/>
      <w:szCs w:val="24"/>
    </w:rPr>
  </w:style>
  <w:style w:type="character" w:customStyle="1" w:styleId="QuoteChar">
    <w:name w:val="Quote Char"/>
    <w:basedOn w:val="DefaultParagraphFont"/>
    <w:link w:val="Quote"/>
    <w:uiPriority w:val="29"/>
    <w:rsid w:val="009E40B6"/>
    <w:rPr>
      <w:i/>
      <w:iCs/>
      <w:sz w:val="24"/>
      <w:szCs w:val="24"/>
    </w:rPr>
  </w:style>
  <w:style w:type="paragraph" w:styleId="IntenseQuote">
    <w:name w:val="Intense Quote"/>
    <w:basedOn w:val="Normal"/>
    <w:next w:val="Normal"/>
    <w:link w:val="IntenseQuoteChar"/>
    <w:uiPriority w:val="30"/>
    <w:qFormat/>
    <w:rsid w:val="009E40B6"/>
    <w:pPr>
      <w:spacing w:before="240" w:after="240" w:line="240" w:lineRule="auto"/>
      <w:ind w:left="1080" w:right="1080"/>
      <w:jc w:val="center"/>
    </w:pPr>
    <w:rPr>
      <w:color w:val="0F7ABF" w:themeColor="accent1"/>
      <w:sz w:val="24"/>
      <w:szCs w:val="24"/>
    </w:rPr>
  </w:style>
  <w:style w:type="character" w:customStyle="1" w:styleId="IntenseQuoteChar">
    <w:name w:val="Intense Quote Char"/>
    <w:basedOn w:val="DefaultParagraphFont"/>
    <w:link w:val="IntenseQuote"/>
    <w:uiPriority w:val="30"/>
    <w:rsid w:val="009E40B6"/>
    <w:rPr>
      <w:color w:val="0F7ABF" w:themeColor="accent1"/>
      <w:sz w:val="24"/>
      <w:szCs w:val="24"/>
    </w:rPr>
  </w:style>
  <w:style w:type="character" w:styleId="SubtleEmphasis">
    <w:name w:val="Subtle Emphasis"/>
    <w:uiPriority w:val="19"/>
    <w:qFormat/>
    <w:rsid w:val="009E40B6"/>
    <w:rPr>
      <w:i/>
      <w:iCs/>
      <w:color w:val="073C5E" w:themeColor="accent1" w:themeShade="7F"/>
    </w:rPr>
  </w:style>
  <w:style w:type="character" w:styleId="IntenseEmphasis">
    <w:name w:val="Intense Emphasis"/>
    <w:uiPriority w:val="21"/>
    <w:qFormat/>
    <w:rsid w:val="009E40B6"/>
    <w:rPr>
      <w:b/>
      <w:bCs/>
      <w:caps/>
      <w:color w:val="073C5E" w:themeColor="accent1" w:themeShade="7F"/>
      <w:spacing w:val="10"/>
    </w:rPr>
  </w:style>
  <w:style w:type="character" w:styleId="SubtleReference">
    <w:name w:val="Subtle Reference"/>
    <w:uiPriority w:val="31"/>
    <w:qFormat/>
    <w:rsid w:val="009E40B6"/>
    <w:rPr>
      <w:b/>
      <w:bCs/>
      <w:color w:val="0F7ABF" w:themeColor="accent1"/>
    </w:rPr>
  </w:style>
  <w:style w:type="character" w:styleId="IntenseReference">
    <w:name w:val="Intense Reference"/>
    <w:uiPriority w:val="32"/>
    <w:qFormat/>
    <w:rsid w:val="009E40B6"/>
    <w:rPr>
      <w:b/>
      <w:bCs/>
      <w:i/>
      <w:iCs/>
      <w:caps/>
      <w:color w:val="0F7ABF" w:themeColor="accent1"/>
    </w:rPr>
  </w:style>
  <w:style w:type="character" w:styleId="BookTitle">
    <w:name w:val="Book Title"/>
    <w:uiPriority w:val="33"/>
    <w:qFormat/>
    <w:rsid w:val="009E40B6"/>
    <w:rPr>
      <w:b/>
      <w:bCs/>
      <w:i/>
      <w:iCs/>
      <w:spacing w:val="0"/>
    </w:rPr>
  </w:style>
  <w:style w:type="paragraph" w:styleId="TOCHeading">
    <w:name w:val="TOC Heading"/>
    <w:basedOn w:val="Heading1"/>
    <w:next w:val="Normal"/>
    <w:uiPriority w:val="39"/>
    <w:semiHidden/>
    <w:unhideWhenUsed/>
    <w:qFormat/>
    <w:rsid w:val="009E40B6"/>
    <w:pPr>
      <w:outlineLvl w:val="9"/>
    </w:pPr>
  </w:style>
  <w:style w:type="paragraph" w:styleId="FootnoteText">
    <w:name w:val="footnote text"/>
    <w:basedOn w:val="Normal"/>
    <w:link w:val="FootnoteTextChar"/>
    <w:uiPriority w:val="99"/>
    <w:unhideWhenUsed/>
    <w:rsid w:val="00F855D2"/>
    <w:pPr>
      <w:spacing w:before="0" w:after="0" w:line="240" w:lineRule="auto"/>
    </w:pPr>
  </w:style>
  <w:style w:type="character" w:customStyle="1" w:styleId="FootnoteTextChar">
    <w:name w:val="Footnote Text Char"/>
    <w:basedOn w:val="DefaultParagraphFont"/>
    <w:link w:val="FootnoteText"/>
    <w:uiPriority w:val="99"/>
    <w:rsid w:val="00F855D2"/>
  </w:style>
  <w:style w:type="character" w:styleId="FootnoteReference">
    <w:name w:val="footnote reference"/>
    <w:basedOn w:val="DefaultParagraphFont"/>
    <w:uiPriority w:val="99"/>
    <w:semiHidden/>
    <w:unhideWhenUsed/>
    <w:rsid w:val="00F855D2"/>
    <w:rPr>
      <w:vertAlign w:val="superscript"/>
    </w:rPr>
  </w:style>
  <w:style w:type="character" w:styleId="Hyperlink">
    <w:name w:val="Hyperlink"/>
    <w:basedOn w:val="DefaultParagraphFont"/>
    <w:uiPriority w:val="99"/>
    <w:unhideWhenUsed/>
    <w:rsid w:val="00F855D2"/>
    <w:rPr>
      <w:color w:val="0000FF"/>
      <w:u w:val="single"/>
    </w:rPr>
  </w:style>
  <w:style w:type="table" w:styleId="TableGrid">
    <w:name w:val="Table Grid"/>
    <w:basedOn w:val="TableNormal"/>
    <w:uiPriority w:val="39"/>
    <w:rsid w:val="0004354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5FAF"/>
    <w:rPr>
      <w:sz w:val="16"/>
      <w:szCs w:val="16"/>
    </w:rPr>
  </w:style>
  <w:style w:type="paragraph" w:styleId="CommentText">
    <w:name w:val="annotation text"/>
    <w:basedOn w:val="Normal"/>
    <w:link w:val="CommentTextChar"/>
    <w:uiPriority w:val="99"/>
    <w:semiHidden/>
    <w:unhideWhenUsed/>
    <w:rsid w:val="006E5FAF"/>
    <w:pPr>
      <w:spacing w:before="0" w:after="160" w:line="240" w:lineRule="auto"/>
    </w:pPr>
    <w:rPr>
      <w:rFonts w:eastAsiaTheme="minorHAnsi"/>
    </w:rPr>
  </w:style>
  <w:style w:type="character" w:customStyle="1" w:styleId="CommentTextChar">
    <w:name w:val="Comment Text Char"/>
    <w:basedOn w:val="DefaultParagraphFont"/>
    <w:link w:val="CommentText"/>
    <w:uiPriority w:val="99"/>
    <w:semiHidden/>
    <w:rsid w:val="006E5FAF"/>
    <w:rPr>
      <w:rFonts w:eastAsiaTheme="minorHAnsi"/>
    </w:rPr>
  </w:style>
  <w:style w:type="paragraph" w:styleId="BalloonText">
    <w:name w:val="Balloon Text"/>
    <w:basedOn w:val="Normal"/>
    <w:link w:val="BalloonTextChar"/>
    <w:uiPriority w:val="99"/>
    <w:semiHidden/>
    <w:unhideWhenUsed/>
    <w:rsid w:val="006E5FA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FAF"/>
    <w:rPr>
      <w:rFonts w:ascii="Segoe UI" w:hAnsi="Segoe UI" w:cs="Segoe UI"/>
      <w:sz w:val="18"/>
      <w:szCs w:val="18"/>
    </w:rPr>
  </w:style>
  <w:style w:type="paragraph" w:styleId="EndnoteText">
    <w:name w:val="endnote text"/>
    <w:basedOn w:val="Normal"/>
    <w:link w:val="EndnoteTextChar"/>
    <w:uiPriority w:val="99"/>
    <w:semiHidden/>
    <w:unhideWhenUsed/>
    <w:rsid w:val="00FE05DE"/>
    <w:pPr>
      <w:spacing w:before="0" w:after="0" w:line="240" w:lineRule="auto"/>
    </w:pPr>
  </w:style>
  <w:style w:type="character" w:customStyle="1" w:styleId="EndnoteTextChar">
    <w:name w:val="Endnote Text Char"/>
    <w:basedOn w:val="DefaultParagraphFont"/>
    <w:link w:val="EndnoteText"/>
    <w:uiPriority w:val="99"/>
    <w:semiHidden/>
    <w:rsid w:val="00FE05DE"/>
  </w:style>
  <w:style w:type="character" w:styleId="EndnoteReference">
    <w:name w:val="endnote reference"/>
    <w:basedOn w:val="DefaultParagraphFont"/>
    <w:uiPriority w:val="99"/>
    <w:semiHidden/>
    <w:unhideWhenUsed/>
    <w:rsid w:val="00FE05DE"/>
    <w:rPr>
      <w:vertAlign w:val="superscript"/>
    </w:rPr>
  </w:style>
  <w:style w:type="paragraph" w:styleId="CommentSubject">
    <w:name w:val="annotation subject"/>
    <w:basedOn w:val="CommentText"/>
    <w:next w:val="CommentText"/>
    <w:link w:val="CommentSubjectChar"/>
    <w:uiPriority w:val="99"/>
    <w:semiHidden/>
    <w:unhideWhenUsed/>
    <w:rsid w:val="00DE4E31"/>
    <w:pPr>
      <w:spacing w:before="100" w:after="200"/>
    </w:pPr>
    <w:rPr>
      <w:rFonts w:eastAsiaTheme="minorEastAsia"/>
      <w:b/>
      <w:bCs/>
    </w:rPr>
  </w:style>
  <w:style w:type="character" w:customStyle="1" w:styleId="CommentSubjectChar">
    <w:name w:val="Comment Subject Char"/>
    <w:basedOn w:val="CommentTextChar"/>
    <w:link w:val="CommentSubject"/>
    <w:uiPriority w:val="99"/>
    <w:semiHidden/>
    <w:rsid w:val="00DE4E31"/>
    <w:rPr>
      <w:rFonts w:eastAsiaTheme="minorHAnsi"/>
      <w:b/>
      <w:bCs/>
    </w:rPr>
  </w:style>
  <w:style w:type="paragraph" w:styleId="Revision">
    <w:name w:val="Revision"/>
    <w:hidden/>
    <w:uiPriority w:val="99"/>
    <w:semiHidden/>
    <w:rsid w:val="00B0537D"/>
    <w:pPr>
      <w:spacing w:before="0" w:after="0" w:line="240" w:lineRule="auto"/>
    </w:pPr>
  </w:style>
  <w:style w:type="character" w:styleId="FollowedHyperlink">
    <w:name w:val="FollowedHyperlink"/>
    <w:basedOn w:val="DefaultParagraphFont"/>
    <w:uiPriority w:val="99"/>
    <w:semiHidden/>
    <w:unhideWhenUsed/>
    <w:rsid w:val="00EE1DDF"/>
    <w:rPr>
      <w:color w:val="7030A0" w:themeColor="followedHyperlink"/>
      <w:u w:val="single"/>
    </w:rPr>
  </w:style>
  <w:style w:type="paragraph" w:styleId="Bibliography">
    <w:name w:val="Bibliography"/>
    <w:basedOn w:val="Normal"/>
    <w:next w:val="Normal"/>
    <w:uiPriority w:val="37"/>
    <w:semiHidden/>
    <w:unhideWhenUsed/>
    <w:rsid w:val="004F3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810079">
      <w:bodyDiv w:val="1"/>
      <w:marLeft w:val="0"/>
      <w:marRight w:val="0"/>
      <w:marTop w:val="0"/>
      <w:marBottom w:val="0"/>
      <w:divBdr>
        <w:top w:val="none" w:sz="0" w:space="0" w:color="auto"/>
        <w:left w:val="none" w:sz="0" w:space="0" w:color="auto"/>
        <w:bottom w:val="none" w:sz="0" w:space="0" w:color="auto"/>
        <w:right w:val="none" w:sz="0" w:space="0" w:color="auto"/>
      </w:divBdr>
    </w:div>
    <w:div w:id="185992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file:///\\spau.local\SPAUNS\DATA\Administration\Policy\Policy%202019\SPA%20Policy%20Positions\www.suicidepreventionaust.org" TargetMode="External"/><Relationship Id="rId2" Type="http://schemas.openxmlformats.org/officeDocument/2006/relationships/hyperlink" Target="mailto:admin@suicidepreventionaust.org" TargetMode="External"/><Relationship Id="rId1" Type="http://schemas.openxmlformats.org/officeDocument/2006/relationships/hyperlink" Target="http://www.suicidecallbackservice.org.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ihw.gov.au/getmedia/99c20935-ac59-4a78-88d7-e37b6cd3b969/aihw-phe-222.pdf.aspx?inline=true" TargetMode="External"/><Relationship Id="rId2" Type="http://schemas.openxmlformats.org/officeDocument/2006/relationships/hyperlink" Target="https://www.abs.gov.au/ausstats/abs@.nsf/Lookup/by%20Subject/3303.0~2018~Main%20Features~Intentional%20self-harm%20in%20Aboriginal%20and%20Torres%20Strait%20Islander%20people~4" TargetMode="External"/><Relationship Id="rId1" Type="http://schemas.openxmlformats.org/officeDocument/2006/relationships/hyperlink" Target="https://www.beyondblue.org.au/media/media-releases/media-releases/south-australia-supports-the-way-back" TargetMode="External"/><Relationship Id="rId4" Type="http://schemas.openxmlformats.org/officeDocument/2006/relationships/hyperlink" Target="https://www.abs.gov.au/ausstats/abs@.nsf/Lookup/by%20Subject/3303.0~2017~Main%20Features~Intentional%20self-harm,%20key%20characteristics~3" TargetMode="External"/></Relationships>
</file>

<file path=word/theme/theme1.xml><?xml version="1.0" encoding="utf-8"?>
<a:theme xmlns:a="http://schemas.openxmlformats.org/drawingml/2006/main" name="Office Theme">
  <a:themeElements>
    <a:clrScheme name="SPA">
      <a:dk1>
        <a:sysClr val="windowText" lastClr="000000"/>
      </a:dk1>
      <a:lt1>
        <a:sysClr val="window" lastClr="FFFFFF"/>
      </a:lt1>
      <a:dk2>
        <a:srgbClr val="7F7F7F"/>
      </a:dk2>
      <a:lt2>
        <a:srgbClr val="A5A5A5"/>
      </a:lt2>
      <a:accent1>
        <a:srgbClr val="0F7ABF"/>
      </a:accent1>
      <a:accent2>
        <a:srgbClr val="24A8E0"/>
      </a:accent2>
      <a:accent3>
        <a:srgbClr val="1B8120"/>
      </a:accent3>
      <a:accent4>
        <a:srgbClr val="CEDA28"/>
      </a:accent4>
      <a:accent5>
        <a:srgbClr val="239E47"/>
      </a:accent5>
      <a:accent6>
        <a:srgbClr val="000000"/>
      </a:accent6>
      <a:hlink>
        <a:srgbClr val="0989B1"/>
      </a:hlink>
      <a:folHlink>
        <a:srgbClr val="7030A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Wor19</b:Tag>
    <b:SourceType>InternetSite</b:SourceType>
    <b:Guid>{EDABDC27-4743-4612-961F-FFF27A91D2CC}</b:Guid>
    <b:Author>
      <b:Author>
        <b:Corporate>World Health Organisation</b:Corporate>
      </b:Author>
    </b:Author>
    <b:Title>Suicide</b:Title>
    <b:Year>2019</b:Year>
    <b:YearAccessed>2019</b:YearAccessed>
    <b:MonthAccessed>November</b:MonthAccessed>
    <b:DayAccessed>21</b:DayAccessed>
    <b:URL> https://www.who.int/news-room/fact-sheets/detail/suicide</b:URL>
    <b:RefOrder>1</b:RefOrder>
  </b:Source>
  <b:Source>
    <b:Tag>Pro19</b:Tag>
    <b:SourceType>Report</b:SourceType>
    <b:Guid>{FE3BBD48-76DC-433D-91C3-DC3B0701E334}</b:Guid>
    <b:Title>Mental Health Draft Report</b:Title>
    <b:Year>2019</b:Year>
    <b:Author>
      <b:Author>
        <b:Corporate>Productivity Commission</b:Corporate>
      </b:Author>
    </b:Author>
    <b:City>Canberra</b:City>
    <b:RefOrder>2</b:RefOrder>
  </b:Source>
  <b:Source>
    <b:Tag>Lif19</b:Tag>
    <b:SourceType>InternetSite</b:SourceType>
    <b:Guid>{691517C9-4C32-4536-BE47-0AC13FB0F9E4}</b:Guid>
    <b:Title>National Suicide Data - Luife in Mind Australia</b:Title>
    <b:Year>2019</b:Year>
    <b:Author>
      <b:Author>
        <b:Corporate>Life in Mind Australia</b:Corporate>
      </b:Author>
    </b:Author>
    <b:YearAccessed>2019</b:YearAccessed>
    <b:MonthAccessed>November </b:MonthAccessed>
    <b:DayAccessed>21</b:DayAccessed>
    <b:URL>https://www.lifeinmindaustralia.com.au/about-suicide/suicide-data</b:URL>
    <b:RefOrder>3</b:RefOrder>
  </b:Source>
  <b:Source>
    <b:Tag>Jow18</b:Tag>
    <b:SourceType>JournalArticle</b:SourceType>
    <b:Guid>{62C584A4-CEE6-4A23-854B-200BA3FA5123}</b:Guid>
    <b:Title>Determining a Suicide under Australian Law</b:Title>
    <b:Year>2018</b:Year>
    <b:JournalName>University of New South Wales Law Journal (Advance)</b:JournalName>
    <b:Volume>41</b:Volume>
    <b:Issue>2</b:Issue>
    <b:Author>
      <b:Author>
        <b:NameList>
          <b:Person>
            <b:Last>Jowett</b:Last>
            <b:First>S</b:First>
          </b:Person>
          <b:Person>
            <b:Last>Carpenter</b:Last>
            <b:First>B</b:First>
          </b:Person>
          <b:Person>
            <b:Last>Tait</b:Last>
            <b:First>G</b:First>
          </b:Person>
        </b:NameList>
      </b:Author>
    </b:Author>
    <b:RefOrder>4</b:RefOrder>
  </b:Source>
  <b:Source>
    <b:Tag>Con12</b:Tag>
    <b:SourceType>Report</b:SourceType>
    <b:Guid>{35FB2C97-E3B5-4D7A-AABB-0795D7C22639}</b:Guid>
    <b:Author>
      <b:Author>
        <b:Corporate>ConNetica Consulting</b:Corporate>
      </b:Author>
    </b:Author>
    <b:Title>Suicide &amp; Suicide Prevention in Australia - Breaking the Silence</b:Title>
    <b:Year>2012</b:Year>
    <b:Publisher>ConNetica Consulting</b:Publisher>
    <b:City>Moffat Beach</b:City>
    <b:RefOrder>5</b:RefOrder>
  </b:Source>
  <b:Source>
    <b:Tag>Com10</b:Tag>
    <b:SourceType>Report</b:SourceType>
    <b:Guid>{55ABF4E7-CBC2-44DF-9EB3-56B1A076AB26}</b:Guid>
    <b:Author>
      <b:Author>
        <b:Corporate>Community Affairs References Committee</b:Corporate>
      </b:Author>
    </b:Author>
    <b:Title>The Hidden Toll: Suicide in Australia</b:Title>
    <b:Year>2010</b:Year>
    <b:Publisher>The Senate</b:Publisher>
    <b:City>Canberra</b:City>
    <b:RefOrder>6</b:RefOrder>
  </b:Source>
  <b:Source>
    <b:Tag>Les19</b:Tag>
    <b:SourceType>Report</b:SourceType>
    <b:Guid>{8E11F74C-73FC-47A2-8E82-70A91A02EC22}</b:Guid>
    <b:Title>Suicide in Queensland: Annual Report 2019</b:Title>
    <b:Year>2019</b:Year>
    <b:Publisher>Australian Institute for Suicide Research and Prevention, Giffith University</b:Publisher>
    <b:City>Brisbane</b:City>
    <b:Author>
      <b:Author>
        <b:NameList>
          <b:Person>
            <b:Last>Leske</b:Last>
            <b:First>S</b:First>
          </b:Person>
          <b:Person>
            <b:Last>Crompton</b:Last>
            <b:First>D</b:First>
          </b:Person>
          <b:Person>
            <b:Last>Kolves</b:Last>
            <b:First>K</b:First>
          </b:Person>
        </b:NameList>
      </b:Author>
    </b:Author>
    <b:RefOrder>7</b:RefOrder>
  </b:Source>
  <b:Source>
    <b:Tag>Sut18</b:Tag>
    <b:SourceType>JournalArticle</b:SourceType>
    <b:Guid>{84A3EFCD-F4B5-486D-BA49-1BDF4B3B07D6}</b:Guid>
    <b:Title>Implementation and evaluation of the Victorian Suicide Register</b:Title>
    <b:Year>2018</b:Year>
    <b:Publisher>Australian and New Jealand Journal of </b:Publisher>
    <b:Author>
      <b:Author>
        <b:NameList>
          <b:Person>
            <b:Last>Sutherland</b:Last>
            <b:First>G</b:First>
          </b:Person>
          <b:Person>
            <b:Last>Milner</b:Last>
            <b:First>A</b:First>
          </b:Person>
          <b:Person>
            <b:Last>Dwyer</b:Last>
            <b:First>J</b:First>
          </b:Person>
          <b:Person>
            <b:Last>Bugeja</b:Last>
            <b:First>L</b:First>
          </b:Person>
          <b:Person>
            <b:Last>Woodward</b:Last>
            <b:First>A</b:First>
          </b:Person>
          <b:Person>
            <b:Last>Robinson</b:Last>
            <b:First>J</b:First>
          </b:Person>
          <b:Person>
            <b:Last>Pirkis</b:Last>
            <b:First>J</b:First>
          </b:Person>
        </b:NameList>
      </b:Author>
    </b:Author>
    <b:JournalName>Australian and New Zealand Journal of Public Health</b:JournalName>
    <b:Pages>296-302</b:Pages>
    <b:Volume>42</b:Volume>
    <b:Issue>3</b:Issue>
    <b:RefOrder>8</b:RefOrder>
  </b:Source>
  <b:Source>
    <b:Tag>Sui19</b:Tag>
    <b:SourceType>Report</b:SourceType>
    <b:Guid>{69E3B82A-AE05-46C4-8BC8-501273A3AF42}</b:Guid>
    <b:Title>Turning Points: Imagine a world without suicide</b:Title>
    <b:Year>2019</b:Year>
    <b:Author>
      <b:Author>
        <b:Corporate>Suicide Prevention Australia</b:Corporate>
      </b:Author>
    </b:Author>
    <b:Publisher>KPMG</b:Publisher>
    <b:City>Sydney</b:City>
    <b:RefOrder>9</b:RefOrder>
  </b:Source>
  <b:Source>
    <b:Tag>Sve20</b:Tag>
    <b:SourceType>JournalArticle</b:SourceType>
    <b:Guid>{0F0FC159-3A2E-47DF-8284-61AC8F76A46C}</b:Guid>
    <b:Title>Suicidal and self-harm presentations to Emergency Departments: The challenges of identification through diagnostic codes and presenting complaints</b:Title>
    <b:JournalName>Health Information Management Journal</b:JournalName>
    <b:Year>2020</b:Year>
    <b:Pages>38-46</b:Pages>
    <b:Volume>49</b:Volume>
    <b:Issue>1</b:Issue>
    <b:Author>
      <b:Author>
        <b:NameList>
          <b:Person>
            <b:Last>Sveticic</b:Last>
            <b:First>J</b:First>
          </b:Person>
          <b:Person>
            <b:Last>Stapelberg</b:Last>
            <b:Middle>CJ</b:Middle>
            <b:First>N</b:First>
          </b:Person>
          <b:Person>
            <b:Last>Turner</b:Last>
            <b:First>K</b:First>
          </b:Person>
        </b:NameList>
      </b:Author>
    </b:Author>
    <b:RefOrder>10</b:RefOrder>
  </b:Source>
  <b:Source>
    <b:Tag>Hed18</b:Tag>
    <b:SourceType>JournalArticle</b:SourceType>
    <b:Guid>{5A201764-F004-45A5-A9E4-09213D76ABE3}</b:Guid>
    <b:Title>Issues in developing a surveillance case definition for nonfatal suicide attempt and intentional self-harm using international classification of diseases</b:Title>
    <b:JournalName>National Health Statistics ReportsNatl Health Stat Report</b:JournalName>
    <b:Year>2018</b:Year>
    <b:Volume>108</b:Volume>
    <b:Author>
      <b:Author>
        <b:NameList>
          <b:Person>
            <b:Last>Hedegaard</b:Last>
            <b:First>H</b:First>
          </b:Person>
          <b:Person>
            <b:Last>Schoenbaum</b:Last>
            <b:First>M</b:First>
          </b:Person>
          <b:Person>
            <b:Last>Claassen</b:Last>
            <b:First>C</b:First>
          </b:Person>
          <b:Person>
            <b:Last>Crosby</b:Last>
            <b:First>A</b:First>
          </b:Person>
          <b:Person>
            <b:Last>Holland</b:Last>
            <b:First>K</b:First>
          </b:Person>
          <b:Person>
            <b:Last>Proescholdbell</b:Last>
            <b:First>S</b:First>
          </b:Person>
        </b:NameList>
      </b:Author>
    </b:Author>
    <b:RefOrder>11</b:RefOrder>
  </b:Source>
  <b:Source>
    <b:Tag>Goo18</b:Tag>
    <b:SourceType>JournalArticle</b:SourceType>
    <b:Guid>{2C59E66F-3490-483B-A0B8-9B9D2BD11AA6}</b:Guid>
    <b:Title>Contemporary definitions of suicidal behaviour: A systematic literature review</b:Title>
    <b:JournalName>American Association of Suicidology</b:JournalName>
    <b:Year>2018</b:Year>
    <b:Pages>488-504</b:Pages>
    <b:Volume>49</b:Volume>
    <b:Issue>2</b:Issue>
    <b:Author>
      <b:Author>
        <b:NameList>
          <b:Person>
            <b:Last>Goodfellow</b:Last>
            <b:First>B</b:First>
          </b:Person>
          <b:Person>
            <b:Last>Kolves</b:Last>
            <b:First>K</b:First>
          </b:Person>
          <b:Person>
            <b:Last>De Leo</b:Last>
            <b:First>D</b:First>
          </b:Person>
        </b:NameList>
      </b:Author>
    </b:Author>
    <b:RefOrder>12</b:RefOrder>
  </b:Source>
</b:Sources>
</file>

<file path=customXml/itemProps1.xml><?xml version="1.0" encoding="utf-8"?>
<ds:datastoreItem xmlns:ds="http://schemas.openxmlformats.org/officeDocument/2006/customXml" ds:itemID="{87A16C35-22AE-44ED-8CD4-FBD4B5305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1991EE80</Template>
  <TotalTime>0</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Burdick</dc:creator>
  <cp:keywords/>
  <dc:description/>
  <cp:lastModifiedBy>Rebecca Burdick Davies</cp:lastModifiedBy>
  <cp:revision>2</cp:revision>
  <cp:lastPrinted>2019-12-06T02:39:00Z</cp:lastPrinted>
  <dcterms:created xsi:type="dcterms:W3CDTF">2020-02-26T01:32:00Z</dcterms:created>
  <dcterms:modified xsi:type="dcterms:W3CDTF">2020-02-26T01:32:00Z</dcterms:modified>
</cp:coreProperties>
</file>